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5B8" w14:textId="45E491C7" w:rsidR="009D2222" w:rsidRPr="009D2222" w:rsidRDefault="009D2222" w:rsidP="009F50DA">
      <w:pPr>
        <w:pStyle w:val="Nagwek1"/>
        <w:ind w:left="5670"/>
        <w:rPr>
          <w:sz w:val="24"/>
          <w:szCs w:val="22"/>
        </w:rPr>
      </w:pPr>
      <w:bookmarkStart w:id="0" w:name="_Toc101965541"/>
      <w:bookmarkStart w:id="1" w:name="_Toc99358284"/>
      <w:r w:rsidRPr="009D2222">
        <w:rPr>
          <w:sz w:val="24"/>
          <w:szCs w:val="22"/>
        </w:rPr>
        <w:t xml:space="preserve">Załącznik nr </w:t>
      </w:r>
      <w:r w:rsidR="009F50DA">
        <w:rPr>
          <w:sz w:val="24"/>
          <w:szCs w:val="22"/>
        </w:rPr>
        <w:t>1</w:t>
      </w:r>
      <w:r w:rsidRPr="009D2222">
        <w:rPr>
          <w:sz w:val="24"/>
          <w:szCs w:val="22"/>
        </w:rPr>
        <w:t xml:space="preserve"> do Regulaminu Komitetu Monitorującego </w:t>
      </w:r>
      <w:r w:rsidR="007C4C0D">
        <w:rPr>
          <w:sz w:val="24"/>
          <w:szCs w:val="22"/>
        </w:rPr>
        <w:t>p</w:t>
      </w:r>
      <w:r w:rsidRPr="009D2222">
        <w:rPr>
          <w:sz w:val="24"/>
          <w:szCs w:val="22"/>
        </w:rPr>
        <w:t>rogram Fundusze Europejskie dla Nowoczesnej Gospodarki 2021</w:t>
      </w:r>
      <w:r w:rsidR="009F50DA">
        <w:rPr>
          <w:sz w:val="24"/>
          <w:szCs w:val="22"/>
        </w:rPr>
        <w:t xml:space="preserve">- </w:t>
      </w:r>
      <w:r w:rsidRPr="009D2222">
        <w:rPr>
          <w:sz w:val="24"/>
          <w:szCs w:val="22"/>
        </w:rPr>
        <w:t>2027</w:t>
      </w:r>
    </w:p>
    <w:p w14:paraId="7B1D4DA5" w14:textId="0FBED9F2" w:rsidR="00263146" w:rsidRPr="00263146" w:rsidRDefault="00C04257" w:rsidP="00263146">
      <w:pPr>
        <w:pStyle w:val="Nagwek1"/>
        <w:rPr>
          <w:sz w:val="24"/>
          <w:szCs w:val="22"/>
        </w:rPr>
      </w:pPr>
      <w:r>
        <w:rPr>
          <w:sz w:val="24"/>
          <w:szCs w:val="22"/>
        </w:rPr>
        <w:t>Wzór o</w:t>
      </w:r>
      <w:r w:rsidR="00263146" w:rsidRPr="00263146">
        <w:rPr>
          <w:sz w:val="24"/>
          <w:szCs w:val="22"/>
        </w:rPr>
        <w:t>świadczeni</w:t>
      </w:r>
      <w:r>
        <w:rPr>
          <w:sz w:val="24"/>
          <w:szCs w:val="22"/>
        </w:rPr>
        <w:t>a</w:t>
      </w:r>
      <w:r w:rsidR="00263146" w:rsidRPr="00263146">
        <w:rPr>
          <w:sz w:val="24"/>
          <w:szCs w:val="22"/>
        </w:rPr>
        <w:t xml:space="preserve"> członka Komitetu, zastępcy członka Komitetu oraz przedstawiciela upoważnionego do udziału w posiedzeniu Komitetu przez podmiot </w:t>
      </w:r>
      <w:r w:rsidR="0074000F">
        <w:rPr>
          <w:sz w:val="24"/>
          <w:szCs w:val="22"/>
        </w:rPr>
        <w:t xml:space="preserve">wskazany </w:t>
      </w:r>
      <w:r w:rsidR="00704798">
        <w:rPr>
          <w:sz w:val="24"/>
          <w:szCs w:val="22"/>
        </w:rPr>
        <w:br/>
      </w:r>
      <w:r w:rsidR="0074000F">
        <w:rPr>
          <w:sz w:val="24"/>
          <w:szCs w:val="22"/>
        </w:rPr>
        <w:t>w Zarządzeniu</w:t>
      </w:r>
      <w:bookmarkEnd w:id="0"/>
      <w:bookmarkEnd w:id="1"/>
      <w:r w:rsidR="00671F55" w:rsidRPr="00671F55">
        <w:rPr>
          <w:sz w:val="24"/>
          <w:szCs w:val="24"/>
        </w:rPr>
        <w:t xml:space="preserve"> </w:t>
      </w:r>
      <w:r w:rsidR="00671F55">
        <w:rPr>
          <w:sz w:val="24"/>
          <w:szCs w:val="24"/>
        </w:rPr>
        <w:t>wraz z notą wyjaśniającą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63146" w:rsidRPr="00264FA0" w14:paraId="7B2AAD83" w14:textId="77777777" w:rsidTr="00344CB5">
        <w:trPr>
          <w:trHeight w:val="558"/>
        </w:trPr>
        <w:tc>
          <w:tcPr>
            <w:tcW w:w="9828" w:type="dxa"/>
            <w:shd w:val="clear" w:color="auto" w:fill="auto"/>
          </w:tcPr>
          <w:p w14:paraId="537B0F38" w14:textId="7E82E98D" w:rsidR="00C04257" w:rsidRDefault="00263146" w:rsidP="00C04257">
            <w:pPr>
              <w:spacing w:before="240" w:after="240"/>
              <w:jc w:val="center"/>
              <w:rPr>
                <w:b/>
                <w:szCs w:val="24"/>
              </w:rPr>
            </w:pPr>
            <w:bookmarkStart w:id="2" w:name="_Hlk112064672"/>
            <w:r w:rsidRPr="00DA0471">
              <w:rPr>
                <w:b/>
                <w:szCs w:val="24"/>
              </w:rPr>
              <w:t>OŚWIADCZENIE CZŁONKA/ZASTĘPCY CZŁONKA K</w:t>
            </w:r>
            <w:r w:rsidR="00C04257">
              <w:rPr>
                <w:b/>
                <w:szCs w:val="24"/>
              </w:rPr>
              <w:t xml:space="preserve">OMITETU MONITORUJĄCEGO PROGRAM FUNDUSZE EUROPEJSKIE DLA NOWOCZESNEJ GOSPODARKI </w:t>
            </w:r>
            <w:r w:rsidR="00C04257">
              <w:rPr>
                <w:b/>
                <w:szCs w:val="24"/>
              </w:rPr>
              <w:br/>
              <w:t xml:space="preserve">2021-2027 </w:t>
            </w:r>
            <w:r w:rsidRPr="00C11DA0">
              <w:rPr>
                <w:b/>
                <w:szCs w:val="24"/>
              </w:rPr>
              <w:t xml:space="preserve">ORAZ </w:t>
            </w:r>
          </w:p>
          <w:p w14:paraId="2E38A56F" w14:textId="1B9CD67D" w:rsidR="00263146" w:rsidRPr="00DA0471" w:rsidRDefault="00263146" w:rsidP="005F002B">
            <w:pPr>
              <w:spacing w:before="240" w:after="240"/>
              <w:jc w:val="center"/>
              <w:rPr>
                <w:b/>
                <w:szCs w:val="24"/>
              </w:rPr>
            </w:pPr>
            <w:r w:rsidRPr="00C11DA0">
              <w:rPr>
                <w:b/>
                <w:szCs w:val="24"/>
              </w:rPr>
              <w:t xml:space="preserve">PRZEDSTAWICIELA UPOWAŻNIONEGO DO UDZIAŁU W POSIEDZENIU </w:t>
            </w:r>
            <w:r w:rsidR="00C04257" w:rsidRPr="00DA0471">
              <w:rPr>
                <w:b/>
                <w:szCs w:val="24"/>
              </w:rPr>
              <w:t>K</w:t>
            </w:r>
            <w:r w:rsidR="00C04257">
              <w:rPr>
                <w:b/>
                <w:szCs w:val="24"/>
              </w:rPr>
              <w:t xml:space="preserve">OMITETU </w:t>
            </w:r>
            <w:r>
              <w:rPr>
                <w:b/>
                <w:szCs w:val="24"/>
              </w:rPr>
              <w:t xml:space="preserve">PRZEZ </w:t>
            </w:r>
            <w:r w:rsidRPr="00C11DA0">
              <w:rPr>
                <w:b/>
                <w:szCs w:val="24"/>
              </w:rPr>
              <w:t xml:space="preserve">PODMIOT </w:t>
            </w:r>
            <w:r w:rsidR="00D97BF8">
              <w:rPr>
                <w:b/>
                <w:szCs w:val="24"/>
              </w:rPr>
              <w:t>WSKAZANY W ZARZĄDZENIU</w:t>
            </w:r>
            <w:r w:rsidRPr="00C11DA0">
              <w:rPr>
                <w:b/>
                <w:szCs w:val="24"/>
              </w:rPr>
              <w:t xml:space="preserve"> </w:t>
            </w:r>
          </w:p>
          <w:p w14:paraId="4E2F5BC8" w14:textId="507D32BA" w:rsidR="00263146" w:rsidRPr="00DA0471" w:rsidRDefault="00263146" w:rsidP="005F002B">
            <w:pPr>
              <w:spacing w:before="240" w:after="240"/>
              <w:rPr>
                <w:szCs w:val="24"/>
              </w:rPr>
            </w:pPr>
            <w:r w:rsidRPr="00DA0471">
              <w:rPr>
                <w:szCs w:val="24"/>
              </w:rPr>
              <w:t xml:space="preserve">Deklaruję </w:t>
            </w:r>
            <w:bookmarkStart w:id="3" w:name="_Hlk97540154"/>
            <w:r w:rsidRPr="00DA0471">
              <w:rPr>
                <w:szCs w:val="24"/>
              </w:rPr>
              <w:t xml:space="preserve">gotowość do rzetelnej i bezstronnej realizacji zadań </w:t>
            </w:r>
            <w:bookmarkEnd w:id="3"/>
            <w:r w:rsidRPr="00DA0471">
              <w:rPr>
                <w:szCs w:val="24"/>
              </w:rPr>
              <w:t xml:space="preserve">wynikających z udziału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br/>
            </w:r>
            <w:r w:rsidRPr="00DA0471">
              <w:rPr>
                <w:szCs w:val="24"/>
              </w:rPr>
              <w:t xml:space="preserve">w </w:t>
            </w:r>
            <w:r>
              <w:rPr>
                <w:szCs w:val="24"/>
              </w:rPr>
              <w:t xml:space="preserve">pracach </w:t>
            </w:r>
            <w:r w:rsidR="00C04257" w:rsidRPr="00C04257">
              <w:rPr>
                <w:rFonts w:cs="Arial"/>
                <w:szCs w:val="24"/>
              </w:rPr>
              <w:t xml:space="preserve">Komitetu Monitorującego </w:t>
            </w:r>
            <w:r w:rsidR="007C4C0D">
              <w:rPr>
                <w:rFonts w:cs="Arial"/>
                <w:szCs w:val="24"/>
              </w:rPr>
              <w:t>p</w:t>
            </w:r>
            <w:r w:rsidR="00C04257" w:rsidRPr="00C04257">
              <w:rPr>
                <w:rFonts w:cs="Arial"/>
                <w:szCs w:val="24"/>
              </w:rPr>
              <w:t>rogram Fundusze Europejskie dla Nowoczesnej Gospodarki 2021</w:t>
            </w:r>
            <w:r w:rsidR="009F50DA">
              <w:rPr>
                <w:rFonts w:cs="Arial"/>
                <w:szCs w:val="24"/>
              </w:rPr>
              <w:t>-</w:t>
            </w:r>
            <w:r w:rsidR="00C04257" w:rsidRPr="00C04257">
              <w:rPr>
                <w:rFonts w:cs="Arial"/>
                <w:szCs w:val="24"/>
              </w:rPr>
              <w:t>2027</w:t>
            </w:r>
            <w:r w:rsidR="00C04257">
              <w:rPr>
                <w:rFonts w:cs="Arial"/>
                <w:szCs w:val="24"/>
              </w:rPr>
              <w:t xml:space="preserve"> </w:t>
            </w:r>
            <w:r w:rsidRPr="00DA0471">
              <w:rPr>
                <w:szCs w:val="24"/>
              </w:rPr>
              <w:t xml:space="preserve">oraz </w:t>
            </w:r>
            <w:r>
              <w:rPr>
                <w:szCs w:val="24"/>
              </w:rPr>
              <w:t xml:space="preserve">do </w:t>
            </w:r>
            <w:bookmarkStart w:id="4" w:name="_Hlk97540177"/>
            <w:r>
              <w:rPr>
                <w:szCs w:val="24"/>
              </w:rPr>
              <w:t xml:space="preserve">przestrzegania </w:t>
            </w:r>
            <w:r w:rsidR="005C7980">
              <w:rPr>
                <w:szCs w:val="24"/>
              </w:rPr>
              <w:t>R</w:t>
            </w:r>
            <w:r>
              <w:rPr>
                <w:szCs w:val="24"/>
              </w:rPr>
              <w:t xml:space="preserve">egulaminu </w:t>
            </w:r>
            <w:r w:rsidR="00E63291">
              <w:rPr>
                <w:szCs w:val="24"/>
              </w:rPr>
              <w:t xml:space="preserve">ww. </w:t>
            </w:r>
            <w:r w:rsidR="00C04257" w:rsidRPr="00C04257">
              <w:rPr>
                <w:rFonts w:cs="Arial"/>
                <w:szCs w:val="24"/>
              </w:rPr>
              <w:t>Komitetu Monitorującego</w:t>
            </w:r>
            <w:bookmarkEnd w:id="4"/>
            <w:r>
              <w:rPr>
                <w:szCs w:val="24"/>
              </w:rPr>
              <w:t>*</w:t>
            </w:r>
            <w:r w:rsidR="00813956">
              <w:rPr>
                <w:szCs w:val="24"/>
              </w:rPr>
              <w:t>.</w:t>
            </w:r>
          </w:p>
          <w:p w14:paraId="0CC2B4A6" w14:textId="4B8A58E7" w:rsidR="00577085" w:rsidRDefault="007C4C0D" w:rsidP="007C4C0D">
            <w:pPr>
              <w:spacing w:before="240" w:after="240"/>
              <w:rPr>
                <w:bCs/>
                <w:szCs w:val="24"/>
              </w:rPr>
            </w:pPr>
            <w:r w:rsidRPr="009C7694">
              <w:rPr>
                <w:bCs/>
                <w:szCs w:val="24"/>
              </w:rPr>
              <w:t xml:space="preserve">Zobowiązuję się do przekazania do sekretariatu Komitetu Monitorującego informacji </w:t>
            </w:r>
            <w:r w:rsidRPr="009C7694">
              <w:rPr>
                <w:bCs/>
                <w:szCs w:val="24"/>
              </w:rPr>
              <w:br/>
              <w:t xml:space="preserve">o konflikcie interesów </w:t>
            </w:r>
            <w:r w:rsidR="00CF7E47" w:rsidRPr="009C7694">
              <w:rPr>
                <w:bCs/>
                <w:szCs w:val="24"/>
              </w:rPr>
              <w:t>lub</w:t>
            </w:r>
            <w:r w:rsidR="008C1839" w:rsidRPr="009C7694">
              <w:rPr>
                <w:bCs/>
                <w:szCs w:val="24"/>
              </w:rPr>
              <w:t xml:space="preserve"> o okolicznościach, które mogą stanowić konflikt interesów, dotyczących mojej osoby </w:t>
            </w:r>
            <w:r w:rsidR="00506C95" w:rsidRPr="009C7694">
              <w:rPr>
                <w:bCs/>
                <w:szCs w:val="24"/>
              </w:rPr>
              <w:t xml:space="preserve">w rozumieniu </w:t>
            </w:r>
            <w:r w:rsidR="00506C95" w:rsidRPr="009C7694">
              <w:rPr>
                <w:rFonts w:eastAsia="Times New Roman" w:cs="Arial"/>
                <w:szCs w:val="24"/>
                <w:lang w:eastAsia="pl-PL"/>
              </w:rPr>
              <w:t xml:space="preserve">art. 61 ust. 3 </w:t>
            </w:r>
            <w:r w:rsidR="00506C95" w:rsidRPr="009C7694">
              <w:rPr>
                <w:szCs w:val="24"/>
              </w:rPr>
              <w:t xml:space="preserve">Rozporządzenia Parlamentu Europejskiego i Rady (UE, </w:t>
            </w:r>
            <w:proofErr w:type="spellStart"/>
            <w:r w:rsidR="00506C95" w:rsidRPr="009C7694">
              <w:rPr>
                <w:szCs w:val="24"/>
              </w:rPr>
              <w:t>Euratom</w:t>
            </w:r>
            <w:proofErr w:type="spellEnd"/>
            <w:r w:rsidR="00506C95" w:rsidRPr="009C7694">
              <w:rPr>
                <w:szCs w:val="24"/>
              </w:rPr>
              <w:t>) 2018/1046 z dnia 18 lipca 2018 r. w sprawie zasad finansowych mających zastosowanie do budżetu ogólnego Unii</w:t>
            </w:r>
            <w:r w:rsidR="00506C95" w:rsidRPr="009C7694">
              <w:rPr>
                <w:bCs/>
                <w:szCs w:val="24"/>
              </w:rPr>
              <w:t xml:space="preserve"> </w:t>
            </w:r>
            <w:r w:rsidRPr="009C7694">
              <w:rPr>
                <w:bCs/>
                <w:szCs w:val="24"/>
              </w:rPr>
              <w:t>zgodnie z Regulaminem Komitetu Monitorującego</w:t>
            </w:r>
            <w:r w:rsidR="00577085" w:rsidRPr="009C7694">
              <w:rPr>
                <w:bCs/>
                <w:szCs w:val="24"/>
              </w:rPr>
              <w:t xml:space="preserve"> </w:t>
            </w:r>
            <w:r w:rsidRPr="009C7694">
              <w:rPr>
                <w:bCs/>
                <w:szCs w:val="24"/>
              </w:rPr>
              <w:t xml:space="preserve">i </w:t>
            </w:r>
            <w:r w:rsidR="00577085" w:rsidRPr="009C7694">
              <w:rPr>
                <w:bCs/>
                <w:szCs w:val="24"/>
              </w:rPr>
              <w:t xml:space="preserve">do </w:t>
            </w:r>
            <w:r w:rsidR="008C1839" w:rsidRPr="009C7694">
              <w:rPr>
                <w:bCs/>
                <w:szCs w:val="24"/>
              </w:rPr>
              <w:t>wyłączenia się z prac Komitetu, których dotyczy konflikt interesów</w:t>
            </w:r>
            <w:r w:rsidR="00577085" w:rsidRPr="009C7694">
              <w:rPr>
                <w:bCs/>
                <w:szCs w:val="24"/>
              </w:rPr>
              <w:t>.</w:t>
            </w:r>
          </w:p>
          <w:p w14:paraId="112F4E38" w14:textId="2DE4AB0E" w:rsidR="00263146" w:rsidRPr="00DA0471" w:rsidRDefault="00263146" w:rsidP="009F50DA">
            <w:pPr>
              <w:tabs>
                <w:tab w:val="left" w:pos="5670"/>
              </w:tabs>
              <w:spacing w:before="240"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                                   ……………………………</w:t>
            </w:r>
            <w:r w:rsidR="00E7783C">
              <w:rPr>
                <w:rFonts w:eastAsia="Times New Roman" w:cs="Arial"/>
                <w:szCs w:val="24"/>
                <w:lang w:eastAsia="pl-PL"/>
              </w:rPr>
              <w:t>……………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</w:t>
            </w:r>
          </w:p>
          <w:p w14:paraId="5ED87E61" w14:textId="6595B1F2" w:rsidR="00263146" w:rsidRPr="009F50DA" w:rsidRDefault="00E7783C" w:rsidP="009F50DA">
            <w:pPr>
              <w:tabs>
                <w:tab w:val="left" w:pos="5670"/>
              </w:tabs>
              <w:spacing w:before="0" w:after="240"/>
              <w:jc w:val="both"/>
              <w:rPr>
                <w:szCs w:val="24"/>
                <w:vertAlign w:val="superscript"/>
              </w:rPr>
            </w:pPr>
            <w:r w:rsidRPr="009F50DA">
              <w:rPr>
                <w:szCs w:val="24"/>
                <w:vertAlign w:val="superscript"/>
              </w:rPr>
              <w:t xml:space="preserve">     </w:t>
            </w:r>
            <w:r>
              <w:rPr>
                <w:szCs w:val="24"/>
                <w:vertAlign w:val="superscript"/>
              </w:rPr>
              <w:t xml:space="preserve">      </w:t>
            </w:r>
            <w:r w:rsidRPr="009F50DA">
              <w:rPr>
                <w:szCs w:val="24"/>
                <w:vertAlign w:val="superscript"/>
              </w:rPr>
              <w:t xml:space="preserve">  (</w:t>
            </w:r>
            <w:r w:rsidR="00263146" w:rsidRPr="009F50DA">
              <w:rPr>
                <w:szCs w:val="24"/>
                <w:vertAlign w:val="superscript"/>
              </w:rPr>
              <w:t>Data, miejsce</w:t>
            </w:r>
            <w:r w:rsidRPr="009F50DA">
              <w:rPr>
                <w:szCs w:val="24"/>
                <w:vertAlign w:val="superscript"/>
              </w:rPr>
              <w:t>)</w:t>
            </w:r>
            <w:r w:rsidR="00263146" w:rsidRPr="009F50DA">
              <w:rPr>
                <w:szCs w:val="24"/>
                <w:vertAlign w:val="superscript"/>
              </w:rPr>
              <w:t xml:space="preserve">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</w:t>
            </w:r>
            <w:r w:rsidRPr="009F50DA">
              <w:rPr>
                <w:szCs w:val="24"/>
                <w:vertAlign w:val="superscript"/>
              </w:rPr>
              <w:t>(</w:t>
            </w:r>
            <w:r w:rsidR="00263146" w:rsidRPr="009F50DA">
              <w:rPr>
                <w:szCs w:val="24"/>
                <w:vertAlign w:val="superscript"/>
              </w:rPr>
              <w:t>Imię i nazwisko</w:t>
            </w:r>
            <w:r w:rsidRPr="009F50DA">
              <w:rPr>
                <w:szCs w:val="24"/>
                <w:vertAlign w:val="superscript"/>
              </w:rPr>
              <w:t>)</w:t>
            </w:r>
          </w:p>
          <w:p w14:paraId="32752662" w14:textId="78EFC7BA" w:rsidR="00263146" w:rsidRPr="00DA0471" w:rsidRDefault="00263146" w:rsidP="009F50DA">
            <w:pPr>
              <w:tabs>
                <w:tab w:val="left" w:pos="5670"/>
              </w:tabs>
              <w:spacing w:before="240"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szCs w:val="24"/>
              </w:rPr>
              <w:t xml:space="preserve">        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 xml:space="preserve">                                                          ………………………………</w:t>
            </w:r>
            <w:r w:rsidR="00E7783C">
              <w:rPr>
                <w:rFonts w:eastAsia="Times New Roman" w:cs="Arial"/>
                <w:szCs w:val="24"/>
                <w:lang w:eastAsia="pl-PL"/>
              </w:rPr>
              <w:t>…………….</w:t>
            </w:r>
          </w:p>
          <w:p w14:paraId="534E3A98" w14:textId="63E7AEF0" w:rsidR="00263146" w:rsidRPr="009F50DA" w:rsidRDefault="00263146" w:rsidP="009F50DA">
            <w:pPr>
              <w:tabs>
                <w:tab w:val="left" w:pos="5670"/>
              </w:tabs>
              <w:spacing w:before="0"/>
              <w:rPr>
                <w:rFonts w:eastAsia="Times New Roman" w:cs="Arial"/>
                <w:vertAlign w:val="superscript"/>
                <w:lang w:eastAsia="pl-PL"/>
              </w:rPr>
            </w:pPr>
            <w:r w:rsidRPr="00DA0471">
              <w:rPr>
                <w:szCs w:val="24"/>
              </w:rPr>
              <w:t xml:space="preserve">                                                                                            </w:t>
            </w:r>
            <w:r w:rsidR="00E7783C">
              <w:rPr>
                <w:szCs w:val="24"/>
              </w:rPr>
              <w:t xml:space="preserve">               </w:t>
            </w:r>
            <w:r w:rsidR="00E7783C" w:rsidRPr="009F50DA">
              <w:rPr>
                <w:szCs w:val="24"/>
                <w:vertAlign w:val="superscript"/>
              </w:rPr>
              <w:t>(</w:t>
            </w:r>
            <w:r w:rsidRPr="009F50DA">
              <w:rPr>
                <w:szCs w:val="24"/>
                <w:vertAlign w:val="superscript"/>
              </w:rPr>
              <w:t>Podpis</w:t>
            </w:r>
            <w:r w:rsidR="00E7783C" w:rsidRPr="009F50DA">
              <w:rPr>
                <w:szCs w:val="24"/>
                <w:vertAlign w:val="superscript"/>
              </w:rPr>
              <w:t>)</w:t>
            </w:r>
          </w:p>
        </w:tc>
      </w:tr>
    </w:tbl>
    <w:bookmarkEnd w:id="2"/>
    <w:p w14:paraId="3A69952B" w14:textId="02E2475F" w:rsidR="00D41429" w:rsidRDefault="00263146" w:rsidP="00F76832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004317">
        <w:rPr>
          <w:rFonts w:eastAsia="Times New Roman" w:cs="Arial"/>
          <w:sz w:val="20"/>
          <w:szCs w:val="20"/>
          <w:lang w:eastAsia="pl-PL"/>
        </w:rPr>
        <w:t>*Dotyczy</w:t>
      </w:r>
      <w:r>
        <w:rPr>
          <w:rFonts w:eastAsia="Times New Roman" w:cs="Arial"/>
          <w:sz w:val="20"/>
          <w:szCs w:val="20"/>
          <w:lang w:eastAsia="pl-PL"/>
        </w:rPr>
        <w:t xml:space="preserve"> każdej, obowiązującej wersji regulaminu K</w:t>
      </w:r>
      <w:r w:rsidR="00FF4EA1">
        <w:rPr>
          <w:rFonts w:eastAsia="Times New Roman" w:cs="Arial"/>
          <w:sz w:val="20"/>
          <w:szCs w:val="20"/>
          <w:lang w:eastAsia="pl-PL"/>
        </w:rPr>
        <w:t xml:space="preserve">omitetu 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="00FF4EA1">
        <w:rPr>
          <w:rFonts w:eastAsia="Times New Roman" w:cs="Arial"/>
          <w:sz w:val="20"/>
          <w:szCs w:val="20"/>
          <w:lang w:eastAsia="pl-PL"/>
        </w:rPr>
        <w:t>onitorującego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14:paraId="738723D4" w14:textId="77777777" w:rsidR="00671F55" w:rsidRDefault="00671F55" w:rsidP="00671F55">
      <w:pPr>
        <w:shd w:val="clear" w:color="auto" w:fill="FFFFFF"/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366E6355" w14:textId="77777777" w:rsidR="00671F55" w:rsidRDefault="00671F55" w:rsidP="00671F55">
      <w:pPr>
        <w:shd w:val="clear" w:color="auto" w:fill="FFFFFF"/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548F6AA6" w14:textId="77777777" w:rsidR="00671F55" w:rsidRDefault="00671F55" w:rsidP="00671F55">
      <w:pPr>
        <w:shd w:val="clear" w:color="auto" w:fill="FFFFFF"/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34C2CD12" w14:textId="43E57391" w:rsidR="00684B75" w:rsidRDefault="00684B75" w:rsidP="00671F55">
      <w:pPr>
        <w:shd w:val="clear" w:color="auto" w:fill="FFFFFF"/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  <w:r w:rsidRPr="00344CB5">
        <w:rPr>
          <w:rFonts w:eastAsia="Times New Roman" w:cs="Arial"/>
          <w:b/>
          <w:bCs/>
          <w:szCs w:val="24"/>
          <w:lang w:eastAsia="pl-PL"/>
        </w:rPr>
        <w:lastRenderedPageBreak/>
        <w:t>NOTA WYJAŚNIAJĄCA</w:t>
      </w:r>
    </w:p>
    <w:p w14:paraId="3041FC63" w14:textId="54E026F7" w:rsidR="00684B75" w:rsidRDefault="00684B75" w:rsidP="00684B75">
      <w:pPr>
        <w:shd w:val="clear" w:color="auto" w:fill="FFFFFF"/>
        <w:spacing w:line="276" w:lineRule="auto"/>
        <w:ind w:left="60"/>
        <w:rPr>
          <w:rFonts w:eastAsia="Times New Roman" w:cs="Arial"/>
          <w:szCs w:val="24"/>
          <w:lang w:eastAsia="pl-PL"/>
        </w:rPr>
      </w:pPr>
      <w:r w:rsidRPr="009C7694">
        <w:rPr>
          <w:rFonts w:eastAsia="Times New Roman" w:cs="Arial"/>
          <w:szCs w:val="24"/>
          <w:lang w:eastAsia="pl-PL"/>
        </w:rPr>
        <w:t xml:space="preserve">Celem noty wyjaśniającej jest </w:t>
      </w:r>
      <w:r w:rsidR="005D393F" w:rsidRPr="009C7694">
        <w:rPr>
          <w:rFonts w:eastAsia="Times New Roman" w:cs="Arial"/>
          <w:szCs w:val="24"/>
          <w:lang w:eastAsia="pl-PL"/>
        </w:rPr>
        <w:t xml:space="preserve">zaprezentowanie możliwych </w:t>
      </w:r>
      <w:r w:rsidR="008C1839" w:rsidRPr="009C7694">
        <w:rPr>
          <w:rFonts w:eastAsia="Times New Roman" w:cs="Arial"/>
          <w:szCs w:val="24"/>
          <w:lang w:eastAsia="pl-PL"/>
        </w:rPr>
        <w:t xml:space="preserve">przesłanek </w:t>
      </w:r>
      <w:r w:rsidRPr="009C7694">
        <w:rPr>
          <w:rFonts w:eastAsia="Times New Roman" w:cs="Arial"/>
          <w:szCs w:val="24"/>
          <w:lang w:eastAsia="pl-PL"/>
        </w:rPr>
        <w:t>konfliktu interesów</w:t>
      </w:r>
      <w:r w:rsidR="009A333D" w:rsidRPr="009C7694">
        <w:rPr>
          <w:rFonts w:eastAsia="Times New Roman" w:cs="Arial"/>
          <w:szCs w:val="24"/>
          <w:lang w:eastAsia="pl-PL"/>
        </w:rPr>
        <w:t xml:space="preserve">, </w:t>
      </w:r>
      <w:r w:rsidRPr="009C7694">
        <w:rPr>
          <w:rFonts w:eastAsia="Times New Roman" w:cs="Arial"/>
          <w:szCs w:val="24"/>
          <w:lang w:eastAsia="pl-PL"/>
        </w:rPr>
        <w:t>pomoc w</w:t>
      </w:r>
      <w:r w:rsidR="005D393F" w:rsidRPr="009C7694">
        <w:rPr>
          <w:rFonts w:eastAsia="Times New Roman" w:cs="Arial"/>
          <w:szCs w:val="24"/>
          <w:lang w:eastAsia="pl-PL"/>
        </w:rPr>
        <w:t xml:space="preserve"> </w:t>
      </w:r>
      <w:r w:rsidRPr="009C7694">
        <w:rPr>
          <w:rFonts w:eastAsia="Times New Roman" w:cs="Arial"/>
          <w:szCs w:val="24"/>
          <w:lang w:eastAsia="pl-PL"/>
        </w:rPr>
        <w:t xml:space="preserve">identyfikacji </w:t>
      </w:r>
      <w:r w:rsidR="008C1839" w:rsidRPr="009C7694">
        <w:rPr>
          <w:rFonts w:eastAsia="Times New Roman" w:cs="Arial"/>
          <w:szCs w:val="24"/>
          <w:lang w:eastAsia="pl-PL"/>
        </w:rPr>
        <w:t xml:space="preserve">konfliktu </w:t>
      </w:r>
      <w:r w:rsidR="005D393F" w:rsidRPr="009C7694">
        <w:rPr>
          <w:rFonts w:eastAsia="Times New Roman" w:cs="Arial"/>
          <w:szCs w:val="24"/>
          <w:lang w:eastAsia="pl-PL"/>
        </w:rPr>
        <w:t xml:space="preserve">i </w:t>
      </w:r>
      <w:r w:rsidRPr="009C7694">
        <w:rPr>
          <w:rFonts w:eastAsia="Times New Roman" w:cs="Arial"/>
          <w:szCs w:val="24"/>
          <w:lang w:eastAsia="pl-PL"/>
        </w:rPr>
        <w:t xml:space="preserve">przedstawienie sposobu postępowania w przypadku </w:t>
      </w:r>
      <w:r w:rsidR="009A333D" w:rsidRPr="009C7694">
        <w:rPr>
          <w:rFonts w:eastAsia="Times New Roman" w:cs="Arial"/>
          <w:szCs w:val="24"/>
          <w:lang w:eastAsia="pl-PL"/>
        </w:rPr>
        <w:t xml:space="preserve">jego </w:t>
      </w:r>
      <w:r w:rsidRPr="009C7694">
        <w:rPr>
          <w:rFonts w:eastAsia="Times New Roman" w:cs="Arial"/>
          <w:szCs w:val="24"/>
          <w:lang w:eastAsia="pl-PL"/>
        </w:rPr>
        <w:t>identyfikacji p</w:t>
      </w:r>
      <w:r>
        <w:rPr>
          <w:rFonts w:eastAsia="Times New Roman" w:cs="Arial"/>
          <w:szCs w:val="24"/>
          <w:lang w:eastAsia="pl-PL"/>
        </w:rPr>
        <w:t xml:space="preserve">rzez </w:t>
      </w:r>
      <w:r w:rsidRPr="00EE0A1F">
        <w:rPr>
          <w:rFonts w:eastAsia="Times New Roman" w:cs="Arial"/>
          <w:b/>
          <w:bCs/>
          <w:szCs w:val="24"/>
          <w:lang w:eastAsia="pl-PL"/>
        </w:rPr>
        <w:t>członka Komitetu</w:t>
      </w:r>
      <w:r>
        <w:rPr>
          <w:rFonts w:eastAsia="Times New Roman" w:cs="Arial"/>
          <w:szCs w:val="24"/>
          <w:lang w:eastAsia="pl-PL"/>
        </w:rPr>
        <w:t xml:space="preserve">, jego </w:t>
      </w:r>
      <w:r w:rsidRPr="00EE0A1F">
        <w:rPr>
          <w:rFonts w:eastAsia="Times New Roman" w:cs="Arial"/>
          <w:b/>
          <w:bCs/>
          <w:szCs w:val="24"/>
          <w:lang w:eastAsia="pl-PL"/>
        </w:rPr>
        <w:t>zastępcę</w:t>
      </w:r>
      <w:r>
        <w:rPr>
          <w:rFonts w:eastAsia="Times New Roman" w:cs="Arial"/>
          <w:szCs w:val="24"/>
          <w:lang w:eastAsia="pl-PL"/>
        </w:rPr>
        <w:t xml:space="preserve"> </w:t>
      </w:r>
      <w:r w:rsidRPr="00344CB5">
        <w:rPr>
          <w:rFonts w:eastAsia="Times New Roman" w:cs="Arial"/>
          <w:szCs w:val="24"/>
          <w:lang w:eastAsia="pl-PL"/>
        </w:rPr>
        <w:t xml:space="preserve">oraz </w:t>
      </w:r>
      <w:r w:rsidR="008A50EA" w:rsidRPr="00EE0A1F">
        <w:rPr>
          <w:rFonts w:eastAsia="Times New Roman" w:cs="Arial"/>
          <w:b/>
          <w:bCs/>
          <w:szCs w:val="24"/>
          <w:lang w:eastAsia="pl-PL"/>
        </w:rPr>
        <w:t>p</w:t>
      </w:r>
      <w:r w:rsidRPr="00EE0A1F">
        <w:rPr>
          <w:rFonts w:eastAsia="Times New Roman" w:cs="Arial"/>
          <w:b/>
          <w:bCs/>
          <w:szCs w:val="24"/>
          <w:lang w:eastAsia="pl-PL"/>
        </w:rPr>
        <w:t>rzedstawiciela upoważnionego</w:t>
      </w:r>
      <w:r w:rsidR="00C21513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id="1"/>
      </w:r>
      <w:r w:rsidRPr="00344CB5">
        <w:rPr>
          <w:rFonts w:eastAsia="Times New Roman" w:cs="Arial"/>
          <w:szCs w:val="24"/>
          <w:lang w:eastAsia="pl-PL"/>
        </w:rPr>
        <w:t xml:space="preserve"> do udziału w posiedzeniu Komitetu przez podmiot wskazany </w:t>
      </w:r>
      <w:r w:rsidR="009A333D">
        <w:rPr>
          <w:rFonts w:eastAsia="Times New Roman" w:cs="Arial"/>
          <w:szCs w:val="24"/>
          <w:lang w:eastAsia="pl-PL"/>
        </w:rPr>
        <w:br/>
      </w:r>
      <w:r w:rsidRPr="00344CB5">
        <w:rPr>
          <w:rFonts w:eastAsia="Times New Roman" w:cs="Arial"/>
          <w:szCs w:val="24"/>
          <w:lang w:eastAsia="pl-PL"/>
        </w:rPr>
        <w:t>w Zarządzeniu</w:t>
      </w:r>
      <w:r w:rsidR="00560401">
        <w:rPr>
          <w:rFonts w:eastAsia="Times New Roman" w:cs="Arial"/>
          <w:szCs w:val="24"/>
          <w:lang w:eastAsia="pl-PL"/>
        </w:rPr>
        <w:t xml:space="preserve">, </w:t>
      </w:r>
      <w:r w:rsidR="007E623C">
        <w:rPr>
          <w:rFonts w:eastAsia="Times New Roman" w:cs="Arial"/>
          <w:szCs w:val="24"/>
          <w:lang w:eastAsia="pl-PL"/>
        </w:rPr>
        <w:t xml:space="preserve">dalej łącznie określanych: </w:t>
      </w:r>
      <w:r w:rsidR="00560401">
        <w:rPr>
          <w:rFonts w:eastAsia="Times New Roman" w:cs="Arial"/>
          <w:szCs w:val="24"/>
          <w:lang w:eastAsia="pl-PL"/>
        </w:rPr>
        <w:t>„</w:t>
      </w:r>
      <w:r w:rsidR="007E623C">
        <w:rPr>
          <w:rFonts w:eastAsia="Times New Roman" w:cs="Arial"/>
          <w:szCs w:val="24"/>
          <w:lang w:eastAsia="pl-PL"/>
        </w:rPr>
        <w:t>osobą pełniącą funkcję w Komitecie</w:t>
      </w:r>
      <w:r w:rsidR="00560401">
        <w:rPr>
          <w:rFonts w:eastAsia="Times New Roman" w:cs="Arial"/>
          <w:szCs w:val="24"/>
          <w:lang w:eastAsia="pl-PL"/>
        </w:rPr>
        <w:t>”</w:t>
      </w:r>
      <w:r w:rsidRPr="00344CB5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 xml:space="preserve"> </w:t>
      </w:r>
    </w:p>
    <w:p w14:paraId="6E7C3B6D" w14:textId="5671B589" w:rsidR="00684B75" w:rsidRPr="00344CB5" w:rsidRDefault="0064192C" w:rsidP="00684B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contextualSpacing w:val="0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 xml:space="preserve">Czym jest </w:t>
      </w:r>
      <w:r w:rsidR="00684B75" w:rsidRPr="00344CB5">
        <w:rPr>
          <w:rFonts w:eastAsia="Times New Roman" w:cs="Arial"/>
          <w:b/>
          <w:bCs/>
          <w:szCs w:val="24"/>
          <w:lang w:eastAsia="pl-PL"/>
        </w:rPr>
        <w:t>konflikt interesów</w:t>
      </w:r>
      <w:r>
        <w:rPr>
          <w:rFonts w:eastAsia="Times New Roman" w:cs="Arial"/>
          <w:b/>
          <w:bCs/>
          <w:szCs w:val="24"/>
          <w:lang w:eastAsia="pl-PL"/>
        </w:rPr>
        <w:t>?</w:t>
      </w:r>
    </w:p>
    <w:p w14:paraId="2F00C028" w14:textId="0B070454" w:rsidR="00684B75" w:rsidRDefault="00684B75" w:rsidP="00684B75">
      <w:pPr>
        <w:shd w:val="clear" w:color="auto" w:fill="FFFFFF"/>
        <w:spacing w:line="276" w:lineRule="auto"/>
        <w:ind w:left="60"/>
        <w:rPr>
          <w:rFonts w:eastAsia="Times New Roman" w:cs="Arial"/>
          <w:szCs w:val="24"/>
          <w:lang w:eastAsia="pl-PL"/>
        </w:rPr>
      </w:pPr>
      <w:r w:rsidRPr="00344CB5">
        <w:rPr>
          <w:rFonts w:eastAsia="Times New Roman" w:cs="Arial"/>
          <w:szCs w:val="24"/>
          <w:lang w:eastAsia="pl-PL"/>
        </w:rPr>
        <w:t xml:space="preserve">Konflikt interesów występuje wówczas, gdy bezstronne i obiektywne pełnienie funkcji przez </w:t>
      </w:r>
      <w:r w:rsidR="007E623C">
        <w:rPr>
          <w:rFonts w:eastAsia="Times New Roman" w:cs="Arial"/>
          <w:szCs w:val="24"/>
          <w:lang w:eastAsia="pl-PL"/>
        </w:rPr>
        <w:t>osobę pełniącą funkcję w Komitecie</w:t>
      </w:r>
      <w:r w:rsidR="00EE0A1F">
        <w:rPr>
          <w:rFonts w:eastAsia="Times New Roman" w:cs="Arial"/>
          <w:szCs w:val="24"/>
          <w:lang w:eastAsia="pl-PL"/>
        </w:rPr>
        <w:t xml:space="preserve"> </w:t>
      </w:r>
      <w:r w:rsidRPr="00344CB5">
        <w:rPr>
          <w:rFonts w:eastAsia="Times New Roman" w:cs="Arial"/>
          <w:szCs w:val="24"/>
          <w:lang w:eastAsia="pl-PL"/>
        </w:rPr>
        <w:t xml:space="preserve">jest zagrożone z uwagi na przesłanki wskazane w art. 61 ust. 3 </w:t>
      </w:r>
      <w:r>
        <w:rPr>
          <w:rFonts w:eastAsia="Times New Roman" w:cs="Arial"/>
          <w:szCs w:val="24"/>
          <w:lang w:eastAsia="pl-PL"/>
        </w:rPr>
        <w:t>rozporządzenia finansowego</w:t>
      </w:r>
      <w:r>
        <w:rPr>
          <w:rStyle w:val="Odwoanieprzypisudolnego"/>
          <w:rFonts w:eastAsia="Times New Roman" w:cs="Arial"/>
          <w:szCs w:val="24"/>
          <w:lang w:eastAsia="pl-PL"/>
        </w:rPr>
        <w:footnoteReference w:id="2"/>
      </w:r>
      <w:r>
        <w:rPr>
          <w:rFonts w:eastAsia="Times New Roman" w:cs="Arial"/>
          <w:szCs w:val="24"/>
          <w:lang w:eastAsia="pl-PL"/>
        </w:rPr>
        <w:t xml:space="preserve">, </w:t>
      </w:r>
      <w:r w:rsidRPr="00344CB5">
        <w:rPr>
          <w:rFonts w:eastAsia="Times New Roman" w:cs="Arial"/>
          <w:szCs w:val="24"/>
          <w:lang w:eastAsia="pl-PL"/>
        </w:rPr>
        <w:t>tj.</w:t>
      </w:r>
      <w:r>
        <w:rPr>
          <w:rFonts w:eastAsia="Times New Roman" w:cs="Arial"/>
          <w:szCs w:val="24"/>
          <w:lang w:eastAsia="pl-PL"/>
        </w:rPr>
        <w:t>:</w:t>
      </w:r>
    </w:p>
    <w:p w14:paraId="4AD8863D" w14:textId="77777777" w:rsidR="00684B75" w:rsidRPr="00270A1F" w:rsidRDefault="00684B75" w:rsidP="00684B75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 w:rsidRPr="00270A1F">
        <w:rPr>
          <w:rFonts w:eastAsia="Times New Roman" w:cs="Arial"/>
          <w:szCs w:val="24"/>
          <w:lang w:eastAsia="pl-PL"/>
        </w:rPr>
        <w:t>względy rodzinne</w:t>
      </w:r>
      <w:r>
        <w:rPr>
          <w:rFonts w:eastAsia="Times New Roman" w:cs="Arial"/>
          <w:szCs w:val="24"/>
          <w:lang w:eastAsia="pl-PL"/>
        </w:rPr>
        <w:t xml:space="preserve"> i względy emocjonalne (pozytywne i negatywne)</w:t>
      </w:r>
    </w:p>
    <w:p w14:paraId="6FA2A57A" w14:textId="07D9D115" w:rsidR="00684B75" w:rsidRDefault="00684B75" w:rsidP="00684B75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 w:rsidRPr="00270A1F">
        <w:rPr>
          <w:rFonts w:eastAsia="Times New Roman" w:cs="Arial"/>
          <w:szCs w:val="24"/>
          <w:lang w:eastAsia="pl-PL"/>
        </w:rPr>
        <w:t>nie jest wymagana więź emocjonalna między członkami rodziny, aby bezstronność danej osoby była zagrożona z uwagi na względy rodzinne</w:t>
      </w:r>
      <w:r w:rsidR="00A45A39">
        <w:rPr>
          <w:rFonts w:eastAsia="Times New Roman" w:cs="Arial"/>
          <w:szCs w:val="24"/>
          <w:lang w:eastAsia="pl-PL"/>
        </w:rPr>
        <w:t>;</w:t>
      </w:r>
    </w:p>
    <w:p w14:paraId="4DB338EC" w14:textId="1D13C3EE" w:rsidR="00684B75" w:rsidRDefault="00684B75" w:rsidP="00684B75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 w:rsidRPr="00270A1F">
        <w:rPr>
          <w:rFonts w:eastAsia="Times New Roman" w:cs="Arial"/>
          <w:szCs w:val="24"/>
          <w:lang w:eastAsia="pl-PL"/>
        </w:rPr>
        <w:t xml:space="preserve">względy rodzinne obejmują: </w:t>
      </w:r>
      <w:r w:rsidRPr="00270A1F">
        <w:rPr>
          <w:rFonts w:eastAsia="Times New Roman" w:cs="Arial"/>
          <w:szCs w:val="24"/>
          <w:u w:val="single"/>
          <w:lang w:eastAsia="pl-PL"/>
        </w:rPr>
        <w:t>najbliższą rodzinę</w:t>
      </w:r>
      <w:r w:rsidRPr="00270A1F">
        <w:rPr>
          <w:rFonts w:eastAsia="Times New Roman" w:cs="Arial"/>
          <w:szCs w:val="24"/>
          <w:lang w:eastAsia="pl-PL"/>
        </w:rPr>
        <w:t xml:space="preserve">, tj. co najmniej </w:t>
      </w:r>
      <w:r w:rsidR="00872314">
        <w:rPr>
          <w:rFonts w:eastAsia="Times New Roman" w:cs="Arial"/>
          <w:szCs w:val="24"/>
          <w:lang w:eastAsia="pl-PL"/>
        </w:rPr>
        <w:t>poniższe</w:t>
      </w:r>
      <w:r w:rsidRPr="00270A1F">
        <w:rPr>
          <w:rFonts w:eastAsia="Times New Roman" w:cs="Arial"/>
          <w:szCs w:val="24"/>
          <w:lang w:eastAsia="pl-PL"/>
        </w:rPr>
        <w:t xml:space="preserve"> relacje, </w:t>
      </w:r>
      <w:r w:rsidR="008A50EA">
        <w:rPr>
          <w:rFonts w:eastAsia="Times New Roman" w:cs="Arial"/>
          <w:szCs w:val="24"/>
          <w:lang w:eastAsia="pl-PL"/>
        </w:rPr>
        <w:br/>
      </w:r>
      <w:r w:rsidRPr="00270A1F">
        <w:rPr>
          <w:rFonts w:eastAsia="Times New Roman" w:cs="Arial"/>
          <w:szCs w:val="24"/>
          <w:lang w:eastAsia="pl-PL"/>
        </w:rPr>
        <w:t>w tym relacje powstałe w wyniku adopcji: małżonek (w tym partner, z którym dana osoba pozostaje w (nie)zarejestrowanym wolnym związku), dzieci i rodzice, (pra)dziadkowie i (pra)wnuki, (przyrodni) bracia i siostry (w tym z rodzin mieszanych), wujowie i ciotki, siostrzenice lub bratanice oraz siostrzeńcy lub bratankowie, kuzyni pierwszego stopnia, teściowie, synowe i zięciowie, szwagier lub szwagierka, przybrani rodzice, pasierbowie i pasierbice</w:t>
      </w:r>
      <w:r w:rsidR="00872314">
        <w:rPr>
          <w:rFonts w:eastAsia="Times New Roman" w:cs="Arial"/>
          <w:szCs w:val="24"/>
          <w:lang w:eastAsia="pl-PL"/>
        </w:rPr>
        <w:t>,</w:t>
      </w:r>
      <w:r w:rsidRPr="00270A1F">
        <w:rPr>
          <w:rFonts w:eastAsia="Times New Roman" w:cs="Arial"/>
          <w:szCs w:val="24"/>
          <w:lang w:eastAsia="pl-PL"/>
        </w:rPr>
        <w:t xml:space="preserve"> oraz </w:t>
      </w:r>
      <w:r w:rsidRPr="00270A1F">
        <w:rPr>
          <w:rFonts w:eastAsia="Times New Roman" w:cs="Arial"/>
          <w:szCs w:val="24"/>
          <w:u w:val="single"/>
          <w:lang w:eastAsia="pl-PL"/>
        </w:rPr>
        <w:t>dalszą rodzinę</w:t>
      </w:r>
      <w:r w:rsidR="00A45A39">
        <w:rPr>
          <w:rFonts w:eastAsia="Times New Roman" w:cs="Arial"/>
          <w:szCs w:val="24"/>
          <w:lang w:eastAsia="pl-PL"/>
        </w:rPr>
        <w:t>;</w:t>
      </w:r>
    </w:p>
    <w:p w14:paraId="6F9B9C75" w14:textId="1A5034B7" w:rsidR="00684B75" w:rsidRDefault="00684B75" w:rsidP="00684B75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 w:rsidRPr="00270A1F">
        <w:rPr>
          <w:rFonts w:eastAsia="Times New Roman" w:cs="Arial"/>
          <w:szCs w:val="24"/>
          <w:lang w:eastAsia="pl-PL"/>
        </w:rPr>
        <w:t>osobista przyjaźń (</w:t>
      </w:r>
      <w:r w:rsidR="005D393F">
        <w:rPr>
          <w:rFonts w:eastAsia="Times New Roman" w:cs="Arial"/>
          <w:szCs w:val="24"/>
          <w:lang w:eastAsia="pl-PL"/>
        </w:rPr>
        <w:t>np. także</w:t>
      </w:r>
      <w:r w:rsidRPr="00270A1F">
        <w:rPr>
          <w:rFonts w:eastAsia="Times New Roman" w:cs="Arial"/>
          <w:szCs w:val="24"/>
          <w:lang w:eastAsia="pl-PL"/>
        </w:rPr>
        <w:t xml:space="preserve"> relacje rodzic chrzestny/chrześniak)</w:t>
      </w:r>
      <w:r w:rsidR="00872314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lub </w:t>
      </w:r>
      <w:r w:rsidR="00D23304">
        <w:rPr>
          <w:rFonts w:eastAsia="Times New Roman" w:cs="Arial"/>
          <w:szCs w:val="24"/>
          <w:lang w:eastAsia="pl-PL"/>
        </w:rPr>
        <w:t>o</w:t>
      </w:r>
      <w:r>
        <w:rPr>
          <w:rFonts w:eastAsia="Times New Roman" w:cs="Arial"/>
          <w:szCs w:val="24"/>
          <w:lang w:eastAsia="pl-PL"/>
        </w:rPr>
        <w:t xml:space="preserve">sobista wrogość </w:t>
      </w:r>
      <w:r w:rsidRPr="00270A1F">
        <w:rPr>
          <w:rFonts w:eastAsia="Times New Roman" w:cs="Arial"/>
          <w:szCs w:val="24"/>
          <w:lang w:eastAsia="pl-PL"/>
        </w:rPr>
        <w:t xml:space="preserve">może prowadzić do sytuacji, w której dana osoba, pozostając w </w:t>
      </w:r>
      <w:r>
        <w:rPr>
          <w:rFonts w:eastAsia="Times New Roman" w:cs="Arial"/>
          <w:szCs w:val="24"/>
          <w:lang w:eastAsia="pl-PL"/>
        </w:rPr>
        <w:t xml:space="preserve">takiej </w:t>
      </w:r>
      <w:r w:rsidRPr="00270A1F">
        <w:rPr>
          <w:rFonts w:eastAsia="Times New Roman" w:cs="Arial"/>
          <w:szCs w:val="24"/>
          <w:lang w:eastAsia="pl-PL"/>
        </w:rPr>
        <w:t>relacji, narazi na szwank swoją bezstronność i obiektywizm</w:t>
      </w:r>
      <w:r w:rsidR="00A45A39">
        <w:rPr>
          <w:rFonts w:eastAsia="Times New Roman" w:cs="Arial"/>
          <w:szCs w:val="24"/>
          <w:lang w:eastAsia="pl-PL"/>
        </w:rPr>
        <w:t>;</w:t>
      </w:r>
    </w:p>
    <w:p w14:paraId="3FCE35D5" w14:textId="218AB804" w:rsidR="00684B75" w:rsidRPr="00B06B61" w:rsidRDefault="00872314" w:rsidP="00684B75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</w:t>
      </w:r>
      <w:r w:rsidR="00684B75" w:rsidRPr="00270A1F">
        <w:rPr>
          <w:rFonts w:eastAsia="Times New Roman" w:cs="Arial"/>
          <w:szCs w:val="24"/>
          <w:lang w:eastAsia="pl-PL"/>
        </w:rPr>
        <w:t>ażdy, kto na stałe mieszka w gospodarstwie domowym danej osoby, znajduje się co najmniej w sytuacji, która obiektywnie może być postrzegana jako konflikt interesów.</w:t>
      </w:r>
    </w:p>
    <w:p w14:paraId="64F3F3A2" w14:textId="12030D40" w:rsidR="00684B75" w:rsidRDefault="00684B75" w:rsidP="00684B75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 w:rsidRPr="00270A1F">
        <w:rPr>
          <w:rFonts w:eastAsia="Times New Roman" w:cs="Arial"/>
          <w:szCs w:val="24"/>
          <w:lang w:eastAsia="pl-PL"/>
        </w:rPr>
        <w:t>sympatie polityczne</w:t>
      </w:r>
      <w:r>
        <w:rPr>
          <w:rFonts w:eastAsia="Times New Roman" w:cs="Arial"/>
          <w:szCs w:val="24"/>
          <w:lang w:eastAsia="pl-PL"/>
        </w:rPr>
        <w:t xml:space="preserve">, np. </w:t>
      </w:r>
      <w:r w:rsidRPr="00B06B61">
        <w:rPr>
          <w:rFonts w:eastAsia="Times New Roman" w:cs="Arial"/>
          <w:szCs w:val="24"/>
          <w:lang w:eastAsia="pl-PL"/>
        </w:rPr>
        <w:t>związk</w:t>
      </w:r>
      <w:r>
        <w:rPr>
          <w:rFonts w:eastAsia="Times New Roman" w:cs="Arial"/>
          <w:szCs w:val="24"/>
          <w:lang w:eastAsia="pl-PL"/>
        </w:rPr>
        <w:t>i</w:t>
      </w:r>
      <w:r w:rsidRPr="00B06B61">
        <w:rPr>
          <w:rFonts w:eastAsia="Times New Roman" w:cs="Arial"/>
          <w:szCs w:val="24"/>
          <w:lang w:eastAsia="pl-PL"/>
        </w:rPr>
        <w:t xml:space="preserve"> z partiami politycznymi</w:t>
      </w:r>
      <w:r>
        <w:rPr>
          <w:rFonts w:eastAsia="Times New Roman" w:cs="Arial"/>
          <w:szCs w:val="24"/>
          <w:lang w:eastAsia="pl-PL"/>
        </w:rPr>
        <w:t xml:space="preserve">, </w:t>
      </w:r>
      <w:r w:rsidRPr="00B06B61">
        <w:rPr>
          <w:rFonts w:eastAsia="Times New Roman" w:cs="Arial"/>
          <w:szCs w:val="24"/>
          <w:lang w:eastAsia="pl-PL"/>
        </w:rPr>
        <w:t>zaangażowani</w:t>
      </w:r>
      <w:r>
        <w:rPr>
          <w:rFonts w:eastAsia="Times New Roman" w:cs="Arial"/>
          <w:szCs w:val="24"/>
          <w:lang w:eastAsia="pl-PL"/>
        </w:rPr>
        <w:t>e</w:t>
      </w:r>
      <w:r w:rsidRPr="00B06B61">
        <w:rPr>
          <w:rFonts w:eastAsia="Times New Roman" w:cs="Arial"/>
          <w:szCs w:val="24"/>
          <w:lang w:eastAsia="pl-PL"/>
        </w:rPr>
        <w:t xml:space="preserve"> w działalność organizacji politycznych (nawet jeśli nie jest ono wynagradzane)</w:t>
      </w:r>
      <w:r w:rsidR="00A45A39">
        <w:rPr>
          <w:rFonts w:eastAsia="Times New Roman" w:cs="Arial"/>
          <w:szCs w:val="24"/>
          <w:lang w:eastAsia="pl-PL"/>
        </w:rPr>
        <w:t>;</w:t>
      </w:r>
    </w:p>
    <w:p w14:paraId="7DD68416" w14:textId="1A200FA4" w:rsidR="00684B75" w:rsidRDefault="00684B75" w:rsidP="00684B75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</w:t>
      </w:r>
      <w:r w:rsidRPr="00270A1F">
        <w:rPr>
          <w:rFonts w:eastAsia="Times New Roman" w:cs="Arial"/>
          <w:szCs w:val="24"/>
          <w:lang w:eastAsia="pl-PL"/>
        </w:rPr>
        <w:t xml:space="preserve">wiązki z jakimkolwiek krajem, </w:t>
      </w:r>
      <w:r>
        <w:rPr>
          <w:rFonts w:eastAsia="Times New Roman" w:cs="Arial"/>
          <w:szCs w:val="24"/>
          <w:lang w:eastAsia="pl-PL"/>
        </w:rPr>
        <w:t xml:space="preserve">ale jedynie takie, które mogłyby </w:t>
      </w:r>
      <w:r w:rsidRPr="00B06B61">
        <w:rPr>
          <w:rFonts w:eastAsia="Times New Roman" w:cs="Arial"/>
          <w:szCs w:val="24"/>
          <w:lang w:eastAsia="pl-PL"/>
        </w:rPr>
        <w:t xml:space="preserve">zagrażać bezstronności </w:t>
      </w:r>
      <w:r w:rsidR="008A50EA">
        <w:rPr>
          <w:rFonts w:eastAsia="Times New Roman" w:cs="Arial"/>
          <w:szCs w:val="24"/>
          <w:lang w:eastAsia="pl-PL"/>
        </w:rPr>
        <w:br/>
      </w:r>
      <w:r w:rsidRPr="00B06B61">
        <w:rPr>
          <w:rFonts w:eastAsia="Times New Roman" w:cs="Arial"/>
          <w:szCs w:val="24"/>
          <w:lang w:eastAsia="pl-PL"/>
        </w:rPr>
        <w:t xml:space="preserve">i obiektywizmowi </w:t>
      </w:r>
      <w:r>
        <w:rPr>
          <w:rFonts w:eastAsia="Times New Roman" w:cs="Arial"/>
          <w:szCs w:val="24"/>
          <w:lang w:eastAsia="pl-PL"/>
        </w:rPr>
        <w:t>danej osoby</w:t>
      </w:r>
      <w:r w:rsidR="00A45A39">
        <w:rPr>
          <w:rFonts w:eastAsia="Times New Roman" w:cs="Arial"/>
          <w:szCs w:val="24"/>
          <w:lang w:eastAsia="pl-PL"/>
        </w:rPr>
        <w:t>;</w:t>
      </w:r>
    </w:p>
    <w:p w14:paraId="299631F6" w14:textId="5E5AC7EF" w:rsidR="00684B75" w:rsidRDefault="00684B75" w:rsidP="00684B75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 w:rsidRPr="00270A1F">
        <w:rPr>
          <w:rFonts w:eastAsia="Times New Roman" w:cs="Arial"/>
          <w:szCs w:val="24"/>
          <w:lang w:eastAsia="pl-PL"/>
        </w:rPr>
        <w:t>interes gospodarczy</w:t>
      </w:r>
      <w:r w:rsidR="00A45A39">
        <w:rPr>
          <w:rFonts w:eastAsia="Times New Roman" w:cs="Arial"/>
          <w:szCs w:val="24"/>
          <w:lang w:eastAsia="pl-PL"/>
        </w:rPr>
        <w:t>;</w:t>
      </w:r>
    </w:p>
    <w:p w14:paraId="0207687D" w14:textId="13E9C6C5" w:rsidR="00684B75" w:rsidRDefault="00684B75" w:rsidP="00684B75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 w:rsidRPr="00B06B61">
        <w:rPr>
          <w:rFonts w:eastAsia="Times New Roman" w:cs="Arial"/>
          <w:szCs w:val="24"/>
          <w:lang w:eastAsia="pl-PL"/>
        </w:rPr>
        <w:t xml:space="preserve">jakiekolwiek inne bezpośrednie lub pośrednie interesy osobiste, np. </w:t>
      </w:r>
      <w:r>
        <w:rPr>
          <w:rFonts w:eastAsia="Times New Roman" w:cs="Arial"/>
          <w:szCs w:val="24"/>
          <w:lang w:eastAsia="pl-PL"/>
        </w:rPr>
        <w:t xml:space="preserve">dana osoba uzyskuje jakieś </w:t>
      </w:r>
      <w:r w:rsidRPr="00B06B61">
        <w:rPr>
          <w:rFonts w:eastAsia="Times New Roman" w:cs="Arial"/>
          <w:szCs w:val="24"/>
          <w:lang w:eastAsia="pl-PL"/>
        </w:rPr>
        <w:t>prezenty</w:t>
      </w:r>
      <w:r w:rsidR="005D393F">
        <w:rPr>
          <w:rFonts w:eastAsia="Times New Roman" w:cs="Arial"/>
          <w:szCs w:val="24"/>
          <w:lang w:eastAsia="pl-PL"/>
        </w:rPr>
        <w:t xml:space="preserve"> (np. bony, vouchery)</w:t>
      </w:r>
      <w:r w:rsidRPr="00B06B61">
        <w:rPr>
          <w:rFonts w:eastAsia="Times New Roman" w:cs="Arial"/>
          <w:szCs w:val="24"/>
          <w:lang w:eastAsia="pl-PL"/>
        </w:rPr>
        <w:t xml:space="preserve"> lub gościnność</w:t>
      </w:r>
      <w:r w:rsidR="005D393F">
        <w:rPr>
          <w:rFonts w:eastAsia="Times New Roman" w:cs="Arial"/>
          <w:szCs w:val="24"/>
          <w:lang w:eastAsia="pl-PL"/>
        </w:rPr>
        <w:t xml:space="preserve"> od danego podmiotu</w:t>
      </w:r>
      <w:r w:rsidRPr="00B06B61">
        <w:rPr>
          <w:rFonts w:eastAsia="Times New Roman" w:cs="Arial"/>
          <w:szCs w:val="24"/>
          <w:lang w:eastAsia="pl-PL"/>
        </w:rPr>
        <w:t xml:space="preserve">, </w:t>
      </w:r>
      <w:r w:rsidR="005D393F">
        <w:rPr>
          <w:rFonts w:eastAsia="Times New Roman" w:cs="Arial"/>
          <w:szCs w:val="24"/>
          <w:lang w:eastAsia="pl-PL"/>
        </w:rPr>
        <w:t xml:space="preserve">awans na </w:t>
      </w:r>
      <w:r w:rsidRPr="00B06B61">
        <w:rPr>
          <w:rFonts w:eastAsia="Times New Roman" w:cs="Arial"/>
          <w:szCs w:val="24"/>
          <w:lang w:eastAsia="pl-PL"/>
        </w:rPr>
        <w:t>wyższe stanowisko w strukturze organizacyjnej</w:t>
      </w:r>
      <w:r>
        <w:rPr>
          <w:rFonts w:eastAsia="Times New Roman" w:cs="Arial"/>
          <w:szCs w:val="24"/>
          <w:lang w:eastAsia="pl-PL"/>
        </w:rPr>
        <w:t>,</w:t>
      </w:r>
      <w:r w:rsidRPr="00B06B61">
        <w:rPr>
          <w:rFonts w:eastAsia="Times New Roman" w:cs="Arial"/>
          <w:szCs w:val="24"/>
          <w:lang w:eastAsia="pl-PL"/>
        </w:rPr>
        <w:t xml:space="preserve"> interesy o charakterze </w:t>
      </w:r>
      <w:r w:rsidR="00671F55">
        <w:rPr>
          <w:rFonts w:eastAsia="Times New Roman" w:cs="Arial"/>
          <w:szCs w:val="24"/>
          <w:lang w:eastAsia="pl-PL"/>
        </w:rPr>
        <w:br/>
        <w:t>n</w:t>
      </w:r>
      <w:r w:rsidRPr="00B06B61">
        <w:rPr>
          <w:rFonts w:eastAsia="Times New Roman" w:cs="Arial"/>
          <w:szCs w:val="24"/>
          <w:lang w:eastAsia="pl-PL"/>
        </w:rPr>
        <w:t xml:space="preserve">ieekonomicznym, konkurujące obowiązki lojalności między jednym podmiotem, wobec </w:t>
      </w:r>
      <w:r w:rsidRPr="00B06B61">
        <w:rPr>
          <w:rFonts w:eastAsia="Times New Roman" w:cs="Arial"/>
          <w:szCs w:val="24"/>
          <w:lang w:eastAsia="pl-PL"/>
        </w:rPr>
        <w:lastRenderedPageBreak/>
        <w:t>którego dana osoba jest zobowiązana, a inną osobą lub podmiotem, wobec którego dana osoba jest zobowiązana.</w:t>
      </w:r>
    </w:p>
    <w:p w14:paraId="7EC7314E" w14:textId="192E586C" w:rsidR="00824C5F" w:rsidRPr="00C20A62" w:rsidRDefault="009A333D" w:rsidP="00824C5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contextualSpacing w:val="0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>K</w:t>
      </w:r>
      <w:r w:rsidR="00824C5F" w:rsidRPr="00C20A62">
        <w:rPr>
          <w:rFonts w:eastAsia="Times New Roman" w:cs="Arial"/>
          <w:b/>
          <w:bCs/>
          <w:szCs w:val="24"/>
          <w:lang w:eastAsia="pl-PL"/>
        </w:rPr>
        <w:t>onflikt interesów</w:t>
      </w:r>
      <w:r w:rsidR="0076442E">
        <w:rPr>
          <w:rFonts w:eastAsia="Times New Roman" w:cs="Arial"/>
          <w:b/>
          <w:bCs/>
          <w:szCs w:val="24"/>
          <w:lang w:eastAsia="pl-PL"/>
        </w:rPr>
        <w:t xml:space="preserve"> – </w:t>
      </w:r>
      <w:r>
        <w:rPr>
          <w:rFonts w:eastAsia="Times New Roman" w:cs="Arial"/>
          <w:b/>
          <w:bCs/>
          <w:szCs w:val="24"/>
          <w:lang w:eastAsia="pl-PL"/>
        </w:rPr>
        <w:t xml:space="preserve">przykłady </w:t>
      </w:r>
      <w:r w:rsidR="0076442E">
        <w:rPr>
          <w:rFonts w:eastAsia="Times New Roman" w:cs="Arial"/>
          <w:b/>
          <w:bCs/>
          <w:szCs w:val="24"/>
          <w:lang w:eastAsia="pl-PL"/>
        </w:rPr>
        <w:t>oraz sposób postępowania w przypadku identyfikacji</w:t>
      </w:r>
    </w:p>
    <w:p w14:paraId="3A4A1D4F" w14:textId="3D75EBBC" w:rsidR="0076442E" w:rsidRPr="0076442E" w:rsidRDefault="009A333D" w:rsidP="0076442E">
      <w:pPr>
        <w:shd w:val="clear" w:color="auto" w:fill="FFFFFF"/>
        <w:spacing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</w:t>
      </w:r>
      <w:r w:rsidR="0076442E">
        <w:rPr>
          <w:rFonts w:eastAsia="Times New Roman" w:cs="Arial"/>
          <w:szCs w:val="24"/>
          <w:lang w:eastAsia="pl-PL"/>
        </w:rPr>
        <w:t>onflikt interesów</w:t>
      </w:r>
      <w:r>
        <w:rPr>
          <w:rFonts w:eastAsia="Times New Roman" w:cs="Arial"/>
          <w:szCs w:val="24"/>
          <w:lang w:eastAsia="pl-PL"/>
        </w:rPr>
        <w:t xml:space="preserve"> </w:t>
      </w:r>
      <w:r w:rsidR="0076442E">
        <w:rPr>
          <w:rFonts w:eastAsia="Times New Roman" w:cs="Arial"/>
          <w:szCs w:val="24"/>
          <w:lang w:eastAsia="pl-PL"/>
        </w:rPr>
        <w:t xml:space="preserve">dotyczy </w:t>
      </w:r>
      <w:r w:rsidR="003E644C">
        <w:rPr>
          <w:rFonts w:eastAsia="Times New Roman" w:cs="Arial"/>
          <w:szCs w:val="24"/>
          <w:lang w:eastAsia="pl-PL"/>
        </w:rPr>
        <w:t>sytuacji</w:t>
      </w:r>
      <w:r w:rsidR="00824C5F" w:rsidRPr="00C20A62">
        <w:rPr>
          <w:rFonts w:eastAsia="Times New Roman" w:cs="Arial"/>
          <w:szCs w:val="24"/>
          <w:lang w:eastAsia="pl-PL"/>
        </w:rPr>
        <w:t xml:space="preserve"> </w:t>
      </w:r>
      <w:r w:rsidR="0076442E">
        <w:rPr>
          <w:rFonts w:eastAsia="Times New Roman" w:cs="Arial"/>
          <w:szCs w:val="24"/>
          <w:lang w:eastAsia="pl-PL"/>
        </w:rPr>
        <w:t xml:space="preserve">związanych z </w:t>
      </w:r>
      <w:r w:rsidR="00E16FF4">
        <w:rPr>
          <w:rFonts w:eastAsia="Times New Roman" w:cs="Arial"/>
          <w:szCs w:val="24"/>
          <w:lang w:eastAsia="pl-PL"/>
        </w:rPr>
        <w:t xml:space="preserve">funkcją </w:t>
      </w:r>
      <w:r w:rsidR="0076442E">
        <w:rPr>
          <w:rFonts w:eastAsia="Times New Roman" w:cs="Arial"/>
          <w:szCs w:val="24"/>
          <w:lang w:eastAsia="pl-PL"/>
        </w:rPr>
        <w:t>pełnioną</w:t>
      </w:r>
      <w:r w:rsidR="00EE0A1F">
        <w:rPr>
          <w:rFonts w:eastAsia="Times New Roman" w:cs="Arial"/>
          <w:szCs w:val="24"/>
          <w:lang w:eastAsia="pl-PL"/>
        </w:rPr>
        <w:t xml:space="preserve"> </w:t>
      </w:r>
      <w:r w:rsidR="0076442E">
        <w:rPr>
          <w:rFonts w:eastAsia="Times New Roman" w:cs="Arial"/>
          <w:szCs w:val="24"/>
          <w:lang w:eastAsia="pl-PL"/>
        </w:rPr>
        <w:t>w Komitecie</w:t>
      </w:r>
      <w:r w:rsidR="00E16FF4">
        <w:rPr>
          <w:rFonts w:eastAsia="Times New Roman" w:cs="Arial"/>
          <w:szCs w:val="24"/>
          <w:lang w:eastAsia="pl-PL"/>
        </w:rPr>
        <w:t xml:space="preserve">, </w:t>
      </w:r>
      <w:r w:rsidR="003E644C">
        <w:rPr>
          <w:rFonts w:eastAsia="Times New Roman" w:cs="Arial"/>
          <w:szCs w:val="24"/>
          <w:lang w:eastAsia="pl-PL"/>
        </w:rPr>
        <w:t xml:space="preserve">w której </w:t>
      </w:r>
      <w:r w:rsidR="0076442E">
        <w:rPr>
          <w:rFonts w:eastAsia="Times New Roman" w:cs="Arial"/>
          <w:szCs w:val="24"/>
          <w:lang w:eastAsia="pl-PL"/>
        </w:rPr>
        <w:t>osoba znajduje się pod wpływem sprzecznych interesów.</w:t>
      </w:r>
      <w:r w:rsidR="0076442E" w:rsidRPr="0076442E">
        <w:t xml:space="preserve"> </w:t>
      </w:r>
      <w:r w:rsidR="0076442E" w:rsidRPr="0076442E">
        <w:rPr>
          <w:rFonts w:eastAsia="Times New Roman" w:cs="Arial"/>
          <w:szCs w:val="24"/>
          <w:lang w:eastAsia="pl-PL"/>
        </w:rPr>
        <w:t xml:space="preserve">Konflikt interesów musi być </w:t>
      </w:r>
      <w:r w:rsidR="00EE0A1F">
        <w:rPr>
          <w:rFonts w:eastAsia="Times New Roman" w:cs="Arial"/>
          <w:szCs w:val="24"/>
          <w:lang w:eastAsia="pl-PL"/>
        </w:rPr>
        <w:t xml:space="preserve">uświadomiony, </w:t>
      </w:r>
      <w:r w:rsidR="0076442E" w:rsidRPr="0076442E">
        <w:rPr>
          <w:rFonts w:eastAsia="Times New Roman" w:cs="Arial"/>
          <w:szCs w:val="24"/>
          <w:lang w:eastAsia="pl-PL"/>
        </w:rPr>
        <w:t>zindywidualizowany</w:t>
      </w:r>
      <w:r w:rsidR="00935138">
        <w:rPr>
          <w:rFonts w:eastAsia="Times New Roman" w:cs="Arial"/>
          <w:szCs w:val="24"/>
          <w:lang w:eastAsia="pl-PL"/>
        </w:rPr>
        <w:t xml:space="preserve"> i m</w:t>
      </w:r>
      <w:r w:rsidR="0076442E" w:rsidRPr="0076442E">
        <w:rPr>
          <w:rFonts w:eastAsia="Times New Roman" w:cs="Arial"/>
          <w:szCs w:val="24"/>
          <w:lang w:eastAsia="pl-PL"/>
        </w:rPr>
        <w:t>oże wystąpić przede wszystkim w sytuacji, w której Komitet podejmowałby rozstrzygnięcia</w:t>
      </w:r>
      <w:r w:rsidR="005A7237">
        <w:rPr>
          <w:rFonts w:eastAsia="Times New Roman" w:cs="Arial"/>
          <w:szCs w:val="24"/>
          <w:lang w:eastAsia="pl-PL"/>
        </w:rPr>
        <w:t xml:space="preserve"> </w:t>
      </w:r>
      <w:r w:rsidR="0076442E" w:rsidRPr="0076442E">
        <w:rPr>
          <w:rFonts w:eastAsia="Times New Roman" w:cs="Arial"/>
          <w:szCs w:val="24"/>
          <w:lang w:eastAsia="pl-PL"/>
        </w:rPr>
        <w:t>w indywidualnych sprawach danej osoby lub taka osoba miałaby interes gospodarczy lub osobisty w podjęciu konkretnej decyzji przez Komitet.</w:t>
      </w:r>
    </w:p>
    <w:p w14:paraId="2CC77EF3" w14:textId="5DE25451" w:rsidR="0076442E" w:rsidRDefault="00824C5F" w:rsidP="0076442E">
      <w:pPr>
        <w:shd w:val="clear" w:color="auto" w:fill="FFFFFF"/>
        <w:spacing w:line="276" w:lineRule="auto"/>
        <w:rPr>
          <w:rFonts w:eastAsia="Times New Roman" w:cs="Arial"/>
          <w:szCs w:val="24"/>
          <w:lang w:eastAsia="pl-PL"/>
        </w:rPr>
      </w:pPr>
      <w:r w:rsidRPr="00C20A62">
        <w:rPr>
          <w:rFonts w:eastAsia="Times New Roman" w:cs="Arial"/>
          <w:szCs w:val="24"/>
          <w:lang w:eastAsia="pl-PL"/>
        </w:rPr>
        <w:t>Aby uniknąć konfliktu interesów</w:t>
      </w:r>
      <w:r w:rsidRPr="00824C5F">
        <w:rPr>
          <w:rFonts w:eastAsia="Times New Roman" w:cs="Arial"/>
          <w:szCs w:val="24"/>
          <w:lang w:eastAsia="pl-PL"/>
        </w:rPr>
        <w:t xml:space="preserve"> należy wyłączyć się ze sprawy</w:t>
      </w:r>
      <w:r w:rsidR="0076442E">
        <w:rPr>
          <w:rFonts w:eastAsia="Times New Roman" w:cs="Arial"/>
          <w:szCs w:val="24"/>
          <w:lang w:eastAsia="pl-PL"/>
        </w:rPr>
        <w:t xml:space="preserve">. W praktyce oznacza to zgłoszenie </w:t>
      </w:r>
      <w:r w:rsidR="0076442E" w:rsidRPr="0076442E">
        <w:rPr>
          <w:rFonts w:eastAsia="Times New Roman" w:cs="Arial"/>
          <w:szCs w:val="24"/>
          <w:lang w:eastAsia="pl-PL"/>
        </w:rPr>
        <w:t>konfliktu interesów do sekretariatu Komitetu za pomocą poczty elektronicznej niezwłocznie po otrzymaniu dokumentów,</w:t>
      </w:r>
      <w:r w:rsidR="0076442E">
        <w:rPr>
          <w:rFonts w:eastAsia="Times New Roman" w:cs="Arial"/>
          <w:szCs w:val="24"/>
          <w:lang w:eastAsia="pl-PL"/>
        </w:rPr>
        <w:t xml:space="preserve"> będących przedmiotem prac </w:t>
      </w:r>
      <w:r w:rsidR="0076442E" w:rsidRPr="0076442E">
        <w:rPr>
          <w:rFonts w:eastAsia="Times New Roman" w:cs="Arial"/>
          <w:szCs w:val="24"/>
          <w:lang w:eastAsia="pl-PL"/>
        </w:rPr>
        <w:t>danego posiedzenia Komitetu</w:t>
      </w:r>
      <w:r w:rsidR="0076442E">
        <w:rPr>
          <w:rFonts w:eastAsia="Times New Roman" w:cs="Arial"/>
          <w:szCs w:val="24"/>
          <w:lang w:eastAsia="pl-PL"/>
        </w:rPr>
        <w:t>. Z</w:t>
      </w:r>
      <w:r w:rsidR="0076442E" w:rsidRPr="0076442E">
        <w:rPr>
          <w:rFonts w:eastAsia="Times New Roman" w:cs="Arial"/>
          <w:szCs w:val="24"/>
          <w:lang w:eastAsia="pl-PL"/>
        </w:rPr>
        <w:t xml:space="preserve">głoszenie powinno być dokonane na wzorze stanowiącym załącznik nr </w:t>
      </w:r>
      <w:r w:rsidR="00671F55">
        <w:rPr>
          <w:rFonts w:eastAsia="Times New Roman" w:cs="Arial"/>
          <w:szCs w:val="24"/>
          <w:lang w:eastAsia="pl-PL"/>
        </w:rPr>
        <w:t>6</w:t>
      </w:r>
      <w:r w:rsidR="0076442E" w:rsidRPr="0076442E">
        <w:rPr>
          <w:rFonts w:eastAsia="Times New Roman" w:cs="Arial"/>
          <w:szCs w:val="24"/>
          <w:lang w:eastAsia="pl-PL"/>
        </w:rPr>
        <w:t xml:space="preserve"> do Regulaminu. </w:t>
      </w:r>
    </w:p>
    <w:p w14:paraId="335FED60" w14:textId="0B4C16B1" w:rsidR="005A7237" w:rsidRDefault="0076442E" w:rsidP="0076442E">
      <w:pPr>
        <w:shd w:val="clear" w:color="auto" w:fill="FFFFFF"/>
        <w:spacing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Następnie, takie z</w:t>
      </w:r>
      <w:r w:rsidRPr="0076442E">
        <w:rPr>
          <w:rFonts w:eastAsia="Times New Roman" w:cs="Arial"/>
          <w:szCs w:val="24"/>
          <w:lang w:eastAsia="pl-PL"/>
        </w:rPr>
        <w:t xml:space="preserve">głoszenie jest przekazywane do Przewodniczącego Komitetu wraz </w:t>
      </w:r>
      <w:r w:rsidR="008A50EA">
        <w:rPr>
          <w:rFonts w:eastAsia="Times New Roman" w:cs="Arial"/>
          <w:szCs w:val="24"/>
          <w:lang w:eastAsia="pl-PL"/>
        </w:rPr>
        <w:br/>
      </w:r>
      <w:r w:rsidRPr="0076442E">
        <w:rPr>
          <w:rFonts w:eastAsia="Times New Roman" w:cs="Arial"/>
          <w:szCs w:val="24"/>
          <w:lang w:eastAsia="pl-PL"/>
        </w:rPr>
        <w:t xml:space="preserve">z informacją, że osoba zgłaszająca </w:t>
      </w:r>
      <w:r w:rsidR="009A333D" w:rsidRPr="009A333D">
        <w:rPr>
          <w:rFonts w:eastAsia="Times New Roman" w:cs="Arial"/>
          <w:szCs w:val="24"/>
          <w:lang w:eastAsia="pl-PL"/>
        </w:rPr>
        <w:t>wyłączy się z prac Komitetu, w zakresie którego dotyczy konflikt interesów</w:t>
      </w:r>
      <w:r w:rsidRPr="0076442E">
        <w:rPr>
          <w:rFonts w:eastAsia="Times New Roman" w:cs="Arial"/>
          <w:szCs w:val="24"/>
          <w:lang w:eastAsia="pl-PL"/>
        </w:rPr>
        <w:t>, tj. nie będzie opiniowała otrzymanych</w:t>
      </w:r>
      <w:r w:rsidR="006274AF">
        <w:rPr>
          <w:rFonts w:eastAsia="Times New Roman" w:cs="Arial"/>
          <w:szCs w:val="24"/>
          <w:lang w:eastAsia="pl-PL"/>
        </w:rPr>
        <w:t>, konkretnych</w:t>
      </w:r>
      <w:r w:rsidRPr="0076442E">
        <w:rPr>
          <w:rFonts w:eastAsia="Times New Roman" w:cs="Arial"/>
          <w:szCs w:val="24"/>
          <w:lang w:eastAsia="pl-PL"/>
        </w:rPr>
        <w:t xml:space="preserve"> materiałów, nie będzie brała udziału w dyskusji nad tymi materiałami oraz wyłączy się z głosowania nad uchwałą, której dotyczy zidentyfikowany przez nią konflikt interesów. Taka osoba </w:t>
      </w:r>
      <w:r>
        <w:rPr>
          <w:rFonts w:eastAsia="Times New Roman" w:cs="Arial"/>
          <w:szCs w:val="24"/>
          <w:lang w:eastAsia="pl-PL"/>
        </w:rPr>
        <w:t>może brać</w:t>
      </w:r>
      <w:r w:rsidRPr="0076442E">
        <w:rPr>
          <w:rFonts w:eastAsia="Times New Roman" w:cs="Arial"/>
          <w:szCs w:val="24"/>
          <w:lang w:eastAsia="pl-PL"/>
        </w:rPr>
        <w:t xml:space="preserve"> udział </w:t>
      </w:r>
      <w:r w:rsidR="009A333D">
        <w:rPr>
          <w:rFonts w:eastAsia="Times New Roman" w:cs="Arial"/>
          <w:szCs w:val="24"/>
          <w:lang w:eastAsia="pl-PL"/>
        </w:rPr>
        <w:br/>
      </w:r>
      <w:r w:rsidRPr="0076442E">
        <w:rPr>
          <w:rFonts w:eastAsia="Times New Roman" w:cs="Arial"/>
          <w:szCs w:val="24"/>
          <w:lang w:eastAsia="pl-PL"/>
        </w:rPr>
        <w:t>w pozostałych obszarach prac danego posiedzenia Komitetu.</w:t>
      </w:r>
    </w:p>
    <w:p w14:paraId="7DE5A922" w14:textId="10FE4ECE" w:rsidR="0076442E" w:rsidRPr="00EB63E2" w:rsidRDefault="009A333D" w:rsidP="00C20A62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contextualSpacing w:val="0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>O</w:t>
      </w:r>
      <w:r w:rsidRPr="009A333D">
        <w:rPr>
          <w:rFonts w:eastAsia="Times New Roman" w:cs="Arial"/>
          <w:b/>
          <w:bCs/>
          <w:szCs w:val="24"/>
          <w:lang w:eastAsia="pl-PL"/>
        </w:rPr>
        <w:t xml:space="preserve">koliczności, które mogą stanowić konflikt interesów </w:t>
      </w:r>
      <w:r w:rsidR="0076442E">
        <w:rPr>
          <w:rFonts w:eastAsia="Times New Roman" w:cs="Arial"/>
          <w:b/>
          <w:bCs/>
          <w:szCs w:val="24"/>
          <w:lang w:eastAsia="pl-PL"/>
        </w:rPr>
        <w:t>–</w:t>
      </w:r>
      <w:r w:rsidR="001A69C2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76442E">
        <w:rPr>
          <w:rFonts w:eastAsia="Times New Roman" w:cs="Arial"/>
          <w:b/>
          <w:bCs/>
          <w:szCs w:val="24"/>
          <w:lang w:eastAsia="pl-PL"/>
        </w:rPr>
        <w:t xml:space="preserve">sposób postępowania </w:t>
      </w:r>
      <w:r w:rsidR="001A69C2">
        <w:rPr>
          <w:rFonts w:eastAsia="Times New Roman" w:cs="Arial"/>
          <w:b/>
          <w:bCs/>
          <w:szCs w:val="24"/>
          <w:lang w:eastAsia="pl-PL"/>
        </w:rPr>
        <w:br/>
      </w:r>
      <w:r w:rsidR="0076442E">
        <w:rPr>
          <w:rFonts w:eastAsia="Times New Roman" w:cs="Arial"/>
          <w:b/>
          <w:bCs/>
          <w:szCs w:val="24"/>
          <w:lang w:eastAsia="pl-PL"/>
        </w:rPr>
        <w:t>w przypadku identyfikacji</w:t>
      </w:r>
    </w:p>
    <w:p w14:paraId="48D0085B" w14:textId="77777777" w:rsidR="00B82312" w:rsidRDefault="009A333D" w:rsidP="00935138">
      <w:pPr>
        <w:shd w:val="clear" w:color="auto" w:fill="FFFFFF"/>
        <w:spacing w:line="276" w:lineRule="auto"/>
        <w:ind w:left="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przypadku, gdy </w:t>
      </w:r>
      <w:r w:rsidRPr="009A333D">
        <w:rPr>
          <w:rFonts w:eastAsia="Times New Roman" w:cs="Arial"/>
          <w:szCs w:val="24"/>
          <w:lang w:eastAsia="pl-PL"/>
        </w:rPr>
        <w:t>osob</w:t>
      </w:r>
      <w:r>
        <w:rPr>
          <w:rFonts w:eastAsia="Times New Roman" w:cs="Arial"/>
          <w:szCs w:val="24"/>
          <w:lang w:eastAsia="pl-PL"/>
        </w:rPr>
        <w:t>a</w:t>
      </w:r>
      <w:r w:rsidRPr="009A333D">
        <w:rPr>
          <w:rFonts w:eastAsia="Times New Roman" w:cs="Arial"/>
          <w:szCs w:val="24"/>
          <w:lang w:eastAsia="pl-PL"/>
        </w:rPr>
        <w:t xml:space="preserve"> pełniąc</w:t>
      </w:r>
      <w:r>
        <w:rPr>
          <w:rFonts w:eastAsia="Times New Roman" w:cs="Arial"/>
          <w:szCs w:val="24"/>
          <w:lang w:eastAsia="pl-PL"/>
        </w:rPr>
        <w:t>a</w:t>
      </w:r>
      <w:r w:rsidRPr="009A333D">
        <w:rPr>
          <w:rFonts w:eastAsia="Times New Roman" w:cs="Arial"/>
          <w:szCs w:val="24"/>
          <w:lang w:eastAsia="pl-PL"/>
        </w:rPr>
        <w:t xml:space="preserve"> funkcję w Komitecie</w:t>
      </w:r>
      <w:r>
        <w:rPr>
          <w:rFonts w:eastAsia="Times New Roman" w:cs="Arial"/>
          <w:szCs w:val="24"/>
          <w:lang w:eastAsia="pl-PL"/>
        </w:rPr>
        <w:t xml:space="preserve"> nie jest pewna, czy sytuacja, w której się znajduje stanowi konflikt interesów, powinna ona zgłosić </w:t>
      </w:r>
      <w:r w:rsidR="001A69C2" w:rsidRPr="009A333D">
        <w:rPr>
          <w:rFonts w:eastAsia="Times New Roman" w:cs="Arial"/>
          <w:szCs w:val="24"/>
          <w:lang w:eastAsia="pl-PL"/>
        </w:rPr>
        <w:t xml:space="preserve">do sekretariatu Komitetu </w:t>
      </w:r>
      <w:r w:rsidRPr="009A333D">
        <w:rPr>
          <w:rFonts w:eastAsia="Times New Roman" w:cs="Arial"/>
          <w:szCs w:val="24"/>
          <w:lang w:eastAsia="pl-PL"/>
        </w:rPr>
        <w:t>informacj</w:t>
      </w:r>
      <w:r>
        <w:rPr>
          <w:rFonts w:eastAsia="Times New Roman" w:cs="Arial"/>
          <w:szCs w:val="24"/>
          <w:lang w:eastAsia="pl-PL"/>
        </w:rPr>
        <w:t>ę</w:t>
      </w:r>
      <w:r w:rsidRPr="009A333D">
        <w:rPr>
          <w:rFonts w:eastAsia="Times New Roman" w:cs="Arial"/>
          <w:szCs w:val="24"/>
          <w:lang w:eastAsia="pl-PL"/>
        </w:rPr>
        <w:t xml:space="preserve"> o okolicznościach, mogą</w:t>
      </w:r>
      <w:r>
        <w:rPr>
          <w:rFonts w:eastAsia="Times New Roman" w:cs="Arial"/>
          <w:szCs w:val="24"/>
          <w:lang w:eastAsia="pl-PL"/>
        </w:rPr>
        <w:t>cych</w:t>
      </w:r>
      <w:r w:rsidRPr="009A333D">
        <w:rPr>
          <w:rFonts w:eastAsia="Times New Roman" w:cs="Arial"/>
          <w:szCs w:val="24"/>
          <w:lang w:eastAsia="pl-PL"/>
        </w:rPr>
        <w:t xml:space="preserve"> stanowić konflikt interesów</w:t>
      </w:r>
      <w:r w:rsidR="005F06B2">
        <w:rPr>
          <w:rFonts w:eastAsia="Times New Roman" w:cs="Arial"/>
          <w:szCs w:val="24"/>
          <w:lang w:eastAsia="pl-PL"/>
        </w:rPr>
        <w:t xml:space="preserve">. </w:t>
      </w:r>
    </w:p>
    <w:p w14:paraId="39DC4F87" w14:textId="2714357A" w:rsidR="009A333D" w:rsidRDefault="005F06B2" w:rsidP="00935138">
      <w:pPr>
        <w:shd w:val="clear" w:color="auto" w:fill="FFFFFF"/>
        <w:spacing w:line="276" w:lineRule="auto"/>
        <w:ind w:left="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Zgłoszenie należy przekazać</w:t>
      </w:r>
      <w:r w:rsidR="009A333D" w:rsidRPr="009A333D">
        <w:t xml:space="preserve"> </w:t>
      </w:r>
      <w:r w:rsidR="009A333D" w:rsidRPr="009A333D">
        <w:rPr>
          <w:rFonts w:eastAsia="Times New Roman" w:cs="Arial"/>
          <w:szCs w:val="24"/>
          <w:lang w:eastAsia="pl-PL"/>
        </w:rPr>
        <w:t xml:space="preserve">za pomocą poczty elektronicznej niezwłocznie, po otrzymaniu dokumentów </w:t>
      </w:r>
      <w:r w:rsidR="009A333D">
        <w:rPr>
          <w:rFonts w:eastAsia="Times New Roman" w:cs="Arial"/>
          <w:szCs w:val="24"/>
          <w:lang w:eastAsia="pl-PL"/>
        </w:rPr>
        <w:t xml:space="preserve">będących przedmiotem prac </w:t>
      </w:r>
      <w:r w:rsidR="009A333D" w:rsidRPr="0076442E">
        <w:rPr>
          <w:rFonts w:eastAsia="Times New Roman" w:cs="Arial"/>
          <w:szCs w:val="24"/>
          <w:lang w:eastAsia="pl-PL"/>
        </w:rPr>
        <w:t>danego posiedzenia Komitetu</w:t>
      </w:r>
      <w:r w:rsidR="009A333D" w:rsidRPr="009A333D">
        <w:rPr>
          <w:rFonts w:eastAsia="Times New Roman" w:cs="Arial"/>
          <w:szCs w:val="24"/>
          <w:lang w:eastAsia="pl-PL"/>
        </w:rPr>
        <w:t xml:space="preserve">. Zgłoszenie powinno być dokonane na wzorze stanowiącym załącznik nr </w:t>
      </w:r>
      <w:r w:rsidR="00671F55">
        <w:rPr>
          <w:rFonts w:eastAsia="Times New Roman" w:cs="Arial"/>
          <w:szCs w:val="24"/>
          <w:lang w:eastAsia="pl-PL"/>
        </w:rPr>
        <w:t>6</w:t>
      </w:r>
      <w:r w:rsidR="009A333D" w:rsidRPr="009A333D">
        <w:rPr>
          <w:rFonts w:eastAsia="Times New Roman" w:cs="Arial"/>
          <w:szCs w:val="24"/>
          <w:lang w:eastAsia="pl-PL"/>
        </w:rPr>
        <w:t xml:space="preserve"> do Regulaminu</w:t>
      </w:r>
      <w:r>
        <w:rPr>
          <w:rFonts w:eastAsia="Times New Roman" w:cs="Arial"/>
          <w:szCs w:val="24"/>
          <w:lang w:eastAsia="pl-PL"/>
        </w:rPr>
        <w:t>.</w:t>
      </w:r>
    </w:p>
    <w:p w14:paraId="0CBD5B5E" w14:textId="6DAF7CF9" w:rsidR="005A7237" w:rsidRDefault="009A333D" w:rsidP="005F06B2">
      <w:pPr>
        <w:shd w:val="clear" w:color="auto" w:fill="FFFFFF"/>
        <w:spacing w:line="276" w:lineRule="auto"/>
        <w:ind w:left="60"/>
        <w:rPr>
          <w:rFonts w:eastAsia="Times New Roman" w:cs="Arial"/>
          <w:szCs w:val="24"/>
          <w:lang w:eastAsia="pl-PL"/>
        </w:rPr>
      </w:pPr>
      <w:r w:rsidRPr="009A333D">
        <w:rPr>
          <w:rFonts w:eastAsia="Times New Roman" w:cs="Arial"/>
          <w:szCs w:val="24"/>
          <w:lang w:eastAsia="pl-PL"/>
        </w:rPr>
        <w:t xml:space="preserve">W przypadku zgłoszenia </w:t>
      </w:r>
      <w:r>
        <w:rPr>
          <w:rFonts w:eastAsia="Times New Roman" w:cs="Arial"/>
          <w:szCs w:val="24"/>
          <w:lang w:eastAsia="pl-PL"/>
        </w:rPr>
        <w:t xml:space="preserve">ww. </w:t>
      </w:r>
      <w:r w:rsidRPr="009A333D">
        <w:rPr>
          <w:rFonts w:eastAsia="Times New Roman" w:cs="Arial"/>
          <w:szCs w:val="24"/>
          <w:lang w:eastAsia="pl-PL"/>
        </w:rPr>
        <w:t xml:space="preserve">informacji, sekretariat Komitetu </w:t>
      </w:r>
      <w:r w:rsidR="001A69C2">
        <w:rPr>
          <w:rFonts w:eastAsia="Times New Roman" w:cs="Arial"/>
          <w:szCs w:val="24"/>
          <w:lang w:eastAsia="pl-PL"/>
        </w:rPr>
        <w:t xml:space="preserve">dokonuje analizy </w:t>
      </w:r>
      <w:r w:rsidRPr="009A333D">
        <w:rPr>
          <w:rFonts w:eastAsia="Times New Roman" w:cs="Arial"/>
          <w:szCs w:val="24"/>
          <w:lang w:eastAsia="pl-PL"/>
        </w:rPr>
        <w:t xml:space="preserve">pod kątem istnienia konfliktu interesów. Zgłoszenie razem z pisemną analizą opracowaną przez sekretariat Komitetu jest przekazywane do Przewodniczącego Komitetu, który dokonuje pisemnego rozstrzygnięcia w sprawie wraz z uzasadnieniem. O wyniku rozstrzygnięcia, sekretariat Komitetu niezwłocznie informuje osobę zgłaszającą. Osoba zgłaszająca wstrzymuje się od uczestnictwa w pracach Komitetu w danym zakresie do czasu rozstrzygnięcia sytuacji przez Przewodniczącego Komitetu. Osoba zgłaszająca, wobec której potwierdzono istnienie konfliktu interesów wyłącza się z prac Komitetu zgodnie z pkt. </w:t>
      </w:r>
      <w:r w:rsidR="005F06B2">
        <w:rPr>
          <w:rFonts w:eastAsia="Times New Roman" w:cs="Arial"/>
          <w:szCs w:val="24"/>
          <w:lang w:eastAsia="pl-PL"/>
        </w:rPr>
        <w:t>2</w:t>
      </w:r>
      <w:r w:rsidRPr="009A333D">
        <w:rPr>
          <w:rFonts w:eastAsia="Times New Roman" w:cs="Arial"/>
          <w:szCs w:val="24"/>
          <w:lang w:eastAsia="pl-PL"/>
        </w:rPr>
        <w:t>.</w:t>
      </w:r>
      <w:r w:rsidR="005F06B2">
        <w:rPr>
          <w:rFonts w:eastAsia="Times New Roman" w:cs="Arial"/>
          <w:szCs w:val="24"/>
          <w:lang w:eastAsia="pl-PL"/>
        </w:rPr>
        <w:t xml:space="preserve"> </w:t>
      </w:r>
      <w:r w:rsidR="00923DF9" w:rsidRPr="00923DF9">
        <w:rPr>
          <w:rFonts w:eastAsia="Times New Roman" w:cs="Arial"/>
          <w:szCs w:val="24"/>
          <w:lang w:eastAsia="pl-PL"/>
        </w:rPr>
        <w:t>Taka osoba bierze udział w pozostałych obszarach prac danego posiedzenia Komitetu</w:t>
      </w:r>
      <w:r w:rsidR="00BD2B47" w:rsidRPr="00BD2B47">
        <w:rPr>
          <w:rFonts w:eastAsia="Times New Roman" w:cs="Arial"/>
          <w:szCs w:val="24"/>
          <w:lang w:eastAsia="pl-PL"/>
        </w:rPr>
        <w:t>.</w:t>
      </w:r>
    </w:p>
    <w:p w14:paraId="1439C5F9" w14:textId="2757A347" w:rsidR="0023200C" w:rsidRDefault="0023200C" w:rsidP="00923DF9">
      <w:pPr>
        <w:shd w:val="clear" w:color="auto" w:fill="D0CECE" w:themeFill="background2" w:themeFillShade="E6"/>
        <w:spacing w:line="276" w:lineRule="auto"/>
        <w:rPr>
          <w:rFonts w:eastAsia="Times New Roman" w:cs="Arial"/>
          <w:szCs w:val="24"/>
          <w:lang w:eastAsia="pl-PL"/>
        </w:rPr>
      </w:pPr>
      <w:r w:rsidRPr="00296183">
        <w:rPr>
          <w:rFonts w:eastAsia="Times New Roman" w:cs="Arial"/>
          <w:szCs w:val="24"/>
          <w:lang w:eastAsia="pl-PL"/>
        </w:rPr>
        <w:t xml:space="preserve">Jeżeli konflikt interesów </w:t>
      </w:r>
      <w:r w:rsidR="00923DF9" w:rsidRPr="00296183">
        <w:rPr>
          <w:rFonts w:eastAsia="Times New Roman" w:cs="Arial"/>
          <w:szCs w:val="24"/>
          <w:lang w:eastAsia="pl-PL"/>
        </w:rPr>
        <w:t xml:space="preserve">względem obszaru prac danego posiedzenia Komitetu Monitorującego </w:t>
      </w:r>
      <w:r w:rsidRPr="00296183">
        <w:rPr>
          <w:rFonts w:eastAsia="Times New Roman" w:cs="Arial"/>
          <w:szCs w:val="24"/>
          <w:lang w:eastAsia="pl-PL"/>
        </w:rPr>
        <w:t>zaistnieje po posiedzeniu Komitetu nie oznacza to, że doszło do zatajenia informacji</w:t>
      </w:r>
      <w:r w:rsidR="00923DF9" w:rsidRPr="00296183">
        <w:rPr>
          <w:rFonts w:eastAsia="Times New Roman" w:cs="Arial"/>
          <w:szCs w:val="24"/>
          <w:lang w:eastAsia="pl-PL"/>
        </w:rPr>
        <w:t>,</w:t>
      </w:r>
      <w:r w:rsidRPr="00296183">
        <w:rPr>
          <w:rFonts w:eastAsia="Times New Roman" w:cs="Arial"/>
          <w:szCs w:val="24"/>
          <w:lang w:eastAsia="pl-PL"/>
        </w:rPr>
        <w:t xml:space="preserve"> pod warunkiem, że </w:t>
      </w:r>
      <w:r w:rsidR="005F06B2" w:rsidRPr="009C7694">
        <w:rPr>
          <w:rFonts w:eastAsia="Times New Roman" w:cs="Arial"/>
          <w:szCs w:val="24"/>
          <w:lang w:eastAsia="pl-PL"/>
        </w:rPr>
        <w:t>według najlepszej wiedzy osoby pełniącej funkcję w Komitecie,</w:t>
      </w:r>
      <w:r w:rsidR="005F06B2" w:rsidRPr="005F06B2">
        <w:rPr>
          <w:rFonts w:eastAsia="Times New Roman" w:cs="Arial"/>
          <w:szCs w:val="24"/>
          <w:lang w:eastAsia="pl-PL"/>
        </w:rPr>
        <w:t xml:space="preserve"> </w:t>
      </w:r>
      <w:r w:rsidRPr="00296183">
        <w:rPr>
          <w:rFonts w:eastAsia="Times New Roman" w:cs="Arial"/>
          <w:szCs w:val="24"/>
          <w:lang w:eastAsia="pl-PL"/>
        </w:rPr>
        <w:t xml:space="preserve">przed posiedzeniem oraz w jego trakcie nie zaistniały żadne okoliczności, które spowodowałyby </w:t>
      </w:r>
      <w:r w:rsidR="00923DF9" w:rsidRPr="00296183">
        <w:rPr>
          <w:rFonts w:eastAsia="Times New Roman" w:cs="Arial"/>
          <w:szCs w:val="24"/>
          <w:lang w:eastAsia="pl-PL"/>
        </w:rPr>
        <w:t xml:space="preserve">ten </w:t>
      </w:r>
      <w:r w:rsidRPr="00296183">
        <w:rPr>
          <w:rFonts w:eastAsia="Times New Roman" w:cs="Arial"/>
          <w:szCs w:val="24"/>
          <w:lang w:eastAsia="pl-PL"/>
        </w:rPr>
        <w:t>konflikt</w:t>
      </w:r>
      <w:r w:rsidR="00923DF9" w:rsidRPr="00296183">
        <w:rPr>
          <w:rFonts w:eastAsia="Times New Roman" w:cs="Arial"/>
          <w:szCs w:val="24"/>
          <w:lang w:eastAsia="pl-PL"/>
        </w:rPr>
        <w:t>,</w:t>
      </w:r>
      <w:r w:rsidRPr="00296183">
        <w:rPr>
          <w:rFonts w:eastAsia="Times New Roman" w:cs="Arial"/>
          <w:szCs w:val="24"/>
          <w:lang w:eastAsia="pl-PL"/>
        </w:rPr>
        <w:t xml:space="preserve"> lub nie były one jeszcze </w:t>
      </w:r>
      <w:r w:rsidR="005F06B2">
        <w:rPr>
          <w:rFonts w:eastAsia="Times New Roman" w:cs="Arial"/>
          <w:szCs w:val="24"/>
          <w:lang w:eastAsia="pl-PL"/>
        </w:rPr>
        <w:t>tej</w:t>
      </w:r>
      <w:r w:rsidR="00923DF9" w:rsidRPr="00296183">
        <w:rPr>
          <w:rFonts w:eastAsia="Times New Roman" w:cs="Arial"/>
          <w:szCs w:val="24"/>
          <w:lang w:eastAsia="pl-PL"/>
        </w:rPr>
        <w:t xml:space="preserve"> osobie </w:t>
      </w:r>
      <w:r w:rsidRPr="00296183">
        <w:rPr>
          <w:rFonts w:eastAsia="Times New Roman" w:cs="Arial"/>
          <w:szCs w:val="24"/>
          <w:lang w:eastAsia="pl-PL"/>
        </w:rPr>
        <w:t>znane.</w:t>
      </w:r>
      <w:r>
        <w:rPr>
          <w:rFonts w:eastAsia="Times New Roman" w:cs="Arial"/>
          <w:szCs w:val="24"/>
          <w:lang w:eastAsia="pl-PL"/>
        </w:rPr>
        <w:t xml:space="preserve"> </w:t>
      </w:r>
    </w:p>
    <w:p w14:paraId="17A3035F" w14:textId="77777777" w:rsidR="00C9573D" w:rsidRPr="00C9573D" w:rsidRDefault="00C9573D" w:rsidP="00C9573D">
      <w:pPr>
        <w:pStyle w:val="Akapitzlist"/>
        <w:spacing w:line="276" w:lineRule="auto"/>
        <w:ind w:left="420"/>
        <w:contextualSpacing w:val="0"/>
        <w:rPr>
          <w:rFonts w:eastAsia="Times New Roman" w:cs="Arial"/>
          <w:szCs w:val="24"/>
          <w:lang w:eastAsia="pl-PL"/>
        </w:rPr>
      </w:pPr>
    </w:p>
    <w:p w14:paraId="1918FBFF" w14:textId="5EAFC199" w:rsidR="00C20A62" w:rsidRPr="00C20A62" w:rsidRDefault="00C20A62" w:rsidP="00704798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lastRenderedPageBreak/>
        <w:t>Wadliwość prac Komitetu Monitorującego</w:t>
      </w:r>
    </w:p>
    <w:p w14:paraId="3297CB94" w14:textId="5BA7091B" w:rsidR="00C20A62" w:rsidRPr="00D20F7B" w:rsidRDefault="00C20A62" w:rsidP="00704798">
      <w:pPr>
        <w:spacing w:line="276" w:lineRule="auto"/>
        <w:ind w:left="60"/>
        <w:rPr>
          <w:rFonts w:eastAsia="Times New Roman" w:cs="Arial"/>
          <w:szCs w:val="24"/>
          <w:lang w:eastAsia="pl-PL"/>
        </w:rPr>
      </w:pPr>
      <w:r w:rsidRPr="00C20A62">
        <w:rPr>
          <w:rFonts w:eastAsia="Times New Roman" w:cs="Arial"/>
          <w:szCs w:val="24"/>
          <w:lang w:eastAsia="pl-PL"/>
        </w:rPr>
        <w:t xml:space="preserve">Nieujawniony konflikt interesów przekłada się na wadliwość </w:t>
      </w:r>
      <w:r>
        <w:rPr>
          <w:rFonts w:eastAsia="Times New Roman" w:cs="Arial"/>
          <w:szCs w:val="24"/>
          <w:lang w:eastAsia="pl-PL"/>
        </w:rPr>
        <w:t>prac Komitetu Monitorującego</w:t>
      </w:r>
      <w:r w:rsidRPr="00C20A62">
        <w:rPr>
          <w:rFonts w:eastAsia="Times New Roman" w:cs="Arial"/>
          <w:szCs w:val="24"/>
          <w:lang w:eastAsia="pl-PL"/>
        </w:rPr>
        <w:t xml:space="preserve">. Nieprawidłowym zachowaniem jest sytuacja, gdy </w:t>
      </w:r>
      <w:r w:rsidR="007E623C">
        <w:rPr>
          <w:rFonts w:eastAsia="Times New Roman" w:cs="Arial"/>
          <w:szCs w:val="24"/>
          <w:lang w:eastAsia="pl-PL"/>
        </w:rPr>
        <w:t>osoba pełniąca funkcję w Komitecie</w:t>
      </w:r>
      <w:r w:rsidR="00A44CFC">
        <w:rPr>
          <w:rFonts w:eastAsia="Times New Roman" w:cs="Arial"/>
          <w:szCs w:val="24"/>
          <w:lang w:eastAsia="pl-PL"/>
        </w:rPr>
        <w:t xml:space="preserve"> </w:t>
      </w:r>
      <w:r w:rsidRPr="00C20A62">
        <w:rPr>
          <w:rFonts w:eastAsia="Times New Roman" w:cs="Arial"/>
          <w:szCs w:val="24"/>
          <w:lang w:eastAsia="pl-PL"/>
        </w:rPr>
        <w:t>otrzymuje</w:t>
      </w:r>
      <w:r>
        <w:rPr>
          <w:rFonts w:eastAsia="Times New Roman" w:cs="Arial"/>
          <w:szCs w:val="24"/>
          <w:lang w:eastAsia="pl-PL"/>
        </w:rPr>
        <w:t xml:space="preserve"> dokumenty będące przedmiotem prac posiedzenia Komitetu</w:t>
      </w:r>
      <w:r w:rsidR="009F10F0">
        <w:rPr>
          <w:rFonts w:eastAsia="Times New Roman" w:cs="Arial"/>
          <w:szCs w:val="24"/>
          <w:lang w:eastAsia="pl-PL"/>
        </w:rPr>
        <w:t xml:space="preserve"> i </w:t>
      </w:r>
      <w:r w:rsidR="00067F24">
        <w:rPr>
          <w:rFonts w:eastAsia="Times New Roman" w:cs="Arial"/>
          <w:szCs w:val="24"/>
          <w:lang w:eastAsia="pl-PL"/>
        </w:rPr>
        <w:t>uświadamia sobie</w:t>
      </w:r>
      <w:r w:rsidRPr="00C20A62">
        <w:rPr>
          <w:rFonts w:eastAsia="Times New Roman" w:cs="Arial"/>
          <w:szCs w:val="24"/>
          <w:lang w:eastAsia="pl-PL"/>
        </w:rPr>
        <w:t xml:space="preserve">, że </w:t>
      </w:r>
      <w:r w:rsidR="00913C4C">
        <w:rPr>
          <w:rFonts w:eastAsia="Times New Roman" w:cs="Arial"/>
          <w:szCs w:val="24"/>
          <w:lang w:eastAsia="pl-PL"/>
        </w:rPr>
        <w:t>dotyczy jej</w:t>
      </w:r>
      <w:r w:rsidR="00067F24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k</w:t>
      </w:r>
      <w:r w:rsidRPr="00C20A62">
        <w:rPr>
          <w:rFonts w:eastAsia="Times New Roman" w:cs="Arial"/>
          <w:szCs w:val="24"/>
          <w:lang w:eastAsia="pl-PL"/>
        </w:rPr>
        <w:t>onflikt interesów</w:t>
      </w:r>
      <w:r w:rsidR="009F10F0">
        <w:rPr>
          <w:rFonts w:eastAsia="Times New Roman" w:cs="Arial"/>
          <w:szCs w:val="24"/>
          <w:lang w:eastAsia="pl-PL"/>
        </w:rPr>
        <w:t>, p</w:t>
      </w:r>
      <w:r w:rsidR="007E623C">
        <w:rPr>
          <w:rFonts w:eastAsia="Times New Roman" w:cs="Arial"/>
          <w:szCs w:val="24"/>
          <w:lang w:eastAsia="pl-PL"/>
        </w:rPr>
        <w:t>o czym nie zgłasza swych</w:t>
      </w:r>
      <w:r w:rsidR="00067F24">
        <w:rPr>
          <w:rFonts w:eastAsia="Times New Roman" w:cs="Arial"/>
          <w:szCs w:val="24"/>
          <w:lang w:eastAsia="pl-PL"/>
        </w:rPr>
        <w:t xml:space="preserve"> ustaleń</w:t>
      </w:r>
      <w:r w:rsidR="00A44CFC">
        <w:rPr>
          <w:rFonts w:eastAsia="Times New Roman" w:cs="Arial"/>
          <w:szCs w:val="24"/>
          <w:lang w:eastAsia="pl-PL"/>
        </w:rPr>
        <w:t>,</w:t>
      </w:r>
      <w:r w:rsidR="007E623C">
        <w:rPr>
          <w:rFonts w:eastAsia="Times New Roman" w:cs="Arial"/>
          <w:szCs w:val="24"/>
          <w:lang w:eastAsia="pl-PL"/>
        </w:rPr>
        <w:t xml:space="preserve"> lecz </w:t>
      </w:r>
      <w:r w:rsidRPr="00C20A62">
        <w:rPr>
          <w:rFonts w:eastAsia="Times New Roman" w:cs="Arial"/>
          <w:szCs w:val="24"/>
          <w:lang w:eastAsia="pl-PL"/>
        </w:rPr>
        <w:t>bierze udział</w:t>
      </w:r>
      <w:r w:rsidR="009F10F0">
        <w:rPr>
          <w:rFonts w:eastAsia="Times New Roman" w:cs="Arial"/>
          <w:szCs w:val="24"/>
          <w:lang w:eastAsia="pl-PL"/>
        </w:rPr>
        <w:t xml:space="preserve"> </w:t>
      </w:r>
      <w:r w:rsidR="000B2B1E">
        <w:rPr>
          <w:rFonts w:eastAsia="Times New Roman" w:cs="Arial"/>
          <w:szCs w:val="24"/>
          <w:lang w:eastAsia="pl-PL"/>
        </w:rPr>
        <w:br/>
      </w:r>
      <w:r w:rsidRPr="00D20F7B">
        <w:rPr>
          <w:rFonts w:eastAsia="Times New Roman" w:cs="Arial"/>
          <w:szCs w:val="24"/>
          <w:lang w:eastAsia="pl-PL"/>
        </w:rPr>
        <w:t>w pracach danego posiedzenia Komitetu</w:t>
      </w:r>
      <w:r w:rsidR="00923DF9" w:rsidRPr="00D20F7B">
        <w:rPr>
          <w:rFonts w:eastAsia="Times New Roman" w:cs="Arial"/>
          <w:szCs w:val="24"/>
          <w:lang w:eastAsia="pl-PL"/>
        </w:rPr>
        <w:t>, w tym w głosowaniach</w:t>
      </w:r>
      <w:r w:rsidRPr="00D20F7B">
        <w:rPr>
          <w:rFonts w:eastAsia="Times New Roman" w:cs="Arial"/>
          <w:szCs w:val="24"/>
          <w:lang w:eastAsia="pl-PL"/>
        </w:rPr>
        <w:t>.</w:t>
      </w:r>
    </w:p>
    <w:p w14:paraId="22D18E17" w14:textId="55072717" w:rsidR="00684B75" w:rsidRPr="00D20F7B" w:rsidRDefault="00684B75" w:rsidP="0047144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contextualSpacing w:val="0"/>
        <w:rPr>
          <w:rFonts w:eastAsia="Times New Roman" w:cs="Arial"/>
          <w:b/>
          <w:bCs/>
          <w:szCs w:val="24"/>
          <w:lang w:eastAsia="pl-PL"/>
        </w:rPr>
      </w:pPr>
      <w:r w:rsidRPr="00D20F7B">
        <w:rPr>
          <w:rFonts w:eastAsia="Times New Roman" w:cs="Arial"/>
          <w:b/>
          <w:bCs/>
          <w:szCs w:val="24"/>
          <w:lang w:eastAsia="pl-PL"/>
        </w:rPr>
        <w:t xml:space="preserve">Badanie </w:t>
      </w:r>
      <w:r w:rsidR="0023200C" w:rsidRPr="00D20F7B">
        <w:rPr>
          <w:rFonts w:eastAsia="Times New Roman" w:cs="Arial"/>
          <w:b/>
          <w:bCs/>
          <w:szCs w:val="24"/>
          <w:lang w:eastAsia="pl-PL"/>
        </w:rPr>
        <w:t>istnienia przesłanek konfliktu interesów i ich wpływu na bezstronność podejmowanych decyzji</w:t>
      </w:r>
    </w:p>
    <w:p w14:paraId="1058B747" w14:textId="2CA280A2" w:rsidR="0023200C" w:rsidRDefault="0023200C" w:rsidP="0023200C">
      <w:pPr>
        <w:shd w:val="clear" w:color="auto" w:fill="FFFFFF"/>
        <w:spacing w:line="276" w:lineRule="auto"/>
        <w:rPr>
          <w:rFonts w:eastAsia="Times New Roman" w:cs="Arial"/>
          <w:szCs w:val="24"/>
          <w:lang w:eastAsia="pl-PL"/>
        </w:rPr>
      </w:pPr>
      <w:r w:rsidRPr="0023200C">
        <w:rPr>
          <w:rFonts w:eastAsia="Times New Roman" w:cs="Arial"/>
          <w:szCs w:val="24"/>
          <w:lang w:eastAsia="pl-PL"/>
        </w:rPr>
        <w:t>Na wniosek członków Komitetu</w:t>
      </w:r>
      <w:r w:rsidR="00CB754B">
        <w:rPr>
          <w:rFonts w:eastAsia="Times New Roman" w:cs="Arial"/>
          <w:szCs w:val="24"/>
          <w:lang w:eastAsia="pl-PL"/>
        </w:rPr>
        <w:t xml:space="preserve"> lub innych uprawnionych instytucji</w:t>
      </w:r>
      <w:r w:rsidRPr="0023200C">
        <w:rPr>
          <w:rFonts w:eastAsia="Times New Roman" w:cs="Arial"/>
          <w:szCs w:val="24"/>
          <w:lang w:eastAsia="pl-PL"/>
        </w:rPr>
        <w:t xml:space="preserve">, w uzasadnionych przypadkach, np. doniesień medialnych lub kontroli uprawnionych instytucji, Przewodniczący Komitetu </w:t>
      </w:r>
      <w:r w:rsidR="00CB754B">
        <w:rPr>
          <w:rFonts w:eastAsia="Times New Roman" w:cs="Arial"/>
          <w:szCs w:val="24"/>
          <w:lang w:eastAsia="pl-PL"/>
        </w:rPr>
        <w:t>zleca sekretariatowi Komitetu weryfikację powziętych i</w:t>
      </w:r>
      <w:r w:rsidR="00CB754B" w:rsidRPr="0023200C">
        <w:rPr>
          <w:rFonts w:eastAsia="Times New Roman" w:cs="Arial"/>
          <w:szCs w:val="24"/>
          <w:lang w:eastAsia="pl-PL"/>
        </w:rPr>
        <w:t>nformacj</w:t>
      </w:r>
      <w:r w:rsidR="00CB754B">
        <w:rPr>
          <w:rFonts w:eastAsia="Times New Roman" w:cs="Arial"/>
          <w:szCs w:val="24"/>
          <w:lang w:eastAsia="pl-PL"/>
        </w:rPr>
        <w:t>i</w:t>
      </w:r>
      <w:r w:rsidRPr="0023200C">
        <w:rPr>
          <w:rFonts w:eastAsia="Times New Roman" w:cs="Arial"/>
          <w:szCs w:val="24"/>
          <w:lang w:eastAsia="pl-PL"/>
        </w:rPr>
        <w:t xml:space="preserve"> dotycząc</w:t>
      </w:r>
      <w:r w:rsidR="00CB754B">
        <w:rPr>
          <w:rFonts w:eastAsia="Times New Roman" w:cs="Arial"/>
          <w:szCs w:val="24"/>
          <w:lang w:eastAsia="pl-PL"/>
        </w:rPr>
        <w:t>ych</w:t>
      </w:r>
      <w:r w:rsidRPr="0023200C">
        <w:rPr>
          <w:rFonts w:eastAsia="Times New Roman" w:cs="Arial"/>
          <w:szCs w:val="24"/>
          <w:lang w:eastAsia="pl-PL"/>
        </w:rPr>
        <w:t xml:space="preserve"> członka Komitetu lub jego zastępcy pod kątem istnienia przesłanek konfliktu interesów</w:t>
      </w:r>
      <w:r w:rsidR="00CB754B">
        <w:rPr>
          <w:rFonts w:eastAsia="Times New Roman" w:cs="Arial"/>
          <w:szCs w:val="24"/>
          <w:lang w:eastAsia="pl-PL"/>
        </w:rPr>
        <w:t>,</w:t>
      </w:r>
      <w:r w:rsidRPr="0023200C">
        <w:rPr>
          <w:rFonts w:eastAsia="Times New Roman" w:cs="Arial"/>
          <w:szCs w:val="24"/>
          <w:lang w:eastAsia="pl-PL"/>
        </w:rPr>
        <w:t xml:space="preserve"> ich wpływu na bezstronność podejmowanych decyzji</w:t>
      </w:r>
      <w:r w:rsidR="00CB754B">
        <w:rPr>
          <w:rFonts w:eastAsia="Times New Roman" w:cs="Arial"/>
          <w:szCs w:val="24"/>
          <w:lang w:eastAsia="pl-PL"/>
        </w:rPr>
        <w:t xml:space="preserve"> </w:t>
      </w:r>
      <w:r w:rsidR="00CB754B" w:rsidRPr="00CB754B">
        <w:rPr>
          <w:rFonts w:eastAsia="Times New Roman" w:cs="Arial"/>
          <w:szCs w:val="24"/>
          <w:lang w:eastAsia="pl-PL"/>
        </w:rPr>
        <w:t>i zgodności z oświadczeniem złożonym na podstawie §2 ust.</w:t>
      </w:r>
      <w:r w:rsidR="00CB754B">
        <w:rPr>
          <w:rFonts w:eastAsia="Times New Roman" w:cs="Arial"/>
          <w:szCs w:val="24"/>
          <w:lang w:eastAsia="pl-PL"/>
        </w:rPr>
        <w:t xml:space="preserve"> </w:t>
      </w:r>
      <w:r w:rsidR="00CB754B" w:rsidRPr="00CB754B">
        <w:rPr>
          <w:rFonts w:eastAsia="Times New Roman" w:cs="Arial"/>
          <w:szCs w:val="24"/>
          <w:lang w:eastAsia="pl-PL"/>
        </w:rPr>
        <w:t>5</w:t>
      </w:r>
      <w:r w:rsidR="00CB754B">
        <w:rPr>
          <w:rFonts w:eastAsia="Times New Roman" w:cs="Arial"/>
          <w:szCs w:val="24"/>
          <w:lang w:eastAsia="pl-PL"/>
        </w:rPr>
        <w:t xml:space="preserve"> Regulaminu Komitetu</w:t>
      </w:r>
      <w:r w:rsidR="00CB754B" w:rsidRPr="00CB754B">
        <w:rPr>
          <w:rFonts w:eastAsia="Times New Roman" w:cs="Arial"/>
          <w:szCs w:val="24"/>
          <w:lang w:eastAsia="pl-PL"/>
        </w:rPr>
        <w:t>. Sekretariat Komitetu weryfikuje powzięte informacje na podstawie ogólnodostępnych danych.</w:t>
      </w:r>
    </w:p>
    <w:p w14:paraId="35095071" w14:textId="15817DC6" w:rsidR="00270A1F" w:rsidRPr="00344CB5" w:rsidRDefault="0023200C" w:rsidP="009C7694">
      <w:pPr>
        <w:spacing w:line="276" w:lineRule="auto"/>
        <w:rPr>
          <w:rFonts w:eastAsia="Times New Roman" w:cs="Arial"/>
          <w:sz w:val="20"/>
          <w:szCs w:val="20"/>
          <w:lang w:eastAsia="pl-PL"/>
        </w:rPr>
      </w:pPr>
      <w:r w:rsidRPr="0023200C">
        <w:rPr>
          <w:rFonts w:eastAsia="Times New Roman" w:cs="Arial"/>
          <w:szCs w:val="24"/>
          <w:lang w:eastAsia="pl-PL"/>
        </w:rPr>
        <w:t xml:space="preserve">W przypadku </w:t>
      </w:r>
      <w:r w:rsidR="003E1D23" w:rsidRPr="004B62F3">
        <w:rPr>
          <w:rFonts w:cs="Arial"/>
          <w:szCs w:val="24"/>
        </w:rPr>
        <w:t xml:space="preserve">niewyłączenia się </w:t>
      </w:r>
      <w:r w:rsidR="003E1D23">
        <w:rPr>
          <w:rFonts w:cs="Arial"/>
          <w:szCs w:val="24"/>
        </w:rPr>
        <w:t xml:space="preserve">członka lub jego zastępcy </w:t>
      </w:r>
      <w:r w:rsidR="003E1D23" w:rsidRPr="004B62F3">
        <w:rPr>
          <w:rFonts w:cs="Arial"/>
          <w:szCs w:val="24"/>
        </w:rPr>
        <w:t>w sytuacji konfliktu interesów</w:t>
      </w:r>
      <w:r w:rsidR="003E1D23">
        <w:rPr>
          <w:rFonts w:cs="Arial"/>
          <w:szCs w:val="24"/>
        </w:rPr>
        <w:t>,</w:t>
      </w:r>
      <w:r w:rsidRPr="0023200C">
        <w:rPr>
          <w:rFonts w:eastAsia="Times New Roman" w:cs="Arial"/>
          <w:szCs w:val="24"/>
          <w:lang w:eastAsia="pl-PL"/>
        </w:rPr>
        <w:t xml:space="preserve"> Przewodniczący Komitetu może wystąpić do podmiotu wskazanego w Zarządzeniu </w:t>
      </w:r>
      <w:r w:rsidR="005F06B2">
        <w:rPr>
          <w:rFonts w:eastAsia="Times New Roman" w:cs="Arial"/>
          <w:szCs w:val="24"/>
          <w:lang w:eastAsia="pl-PL"/>
        </w:rPr>
        <w:br/>
      </w:r>
      <w:r w:rsidRPr="0023200C">
        <w:rPr>
          <w:rFonts w:eastAsia="Times New Roman" w:cs="Arial"/>
          <w:szCs w:val="24"/>
          <w:lang w:eastAsia="pl-PL"/>
        </w:rPr>
        <w:t>o</w:t>
      </w:r>
      <w:r w:rsidR="005F06B2">
        <w:rPr>
          <w:rFonts w:eastAsia="Times New Roman" w:cs="Arial"/>
          <w:szCs w:val="24"/>
          <w:lang w:eastAsia="pl-PL"/>
        </w:rPr>
        <w:t xml:space="preserve"> </w:t>
      </w:r>
      <w:r w:rsidRPr="0023200C">
        <w:rPr>
          <w:rFonts w:eastAsia="Times New Roman" w:cs="Arial"/>
          <w:szCs w:val="24"/>
          <w:lang w:eastAsia="pl-PL"/>
        </w:rPr>
        <w:t>odwołanie wyznaczonego przedstawiciela i wskazanie nowego.</w:t>
      </w:r>
    </w:p>
    <w:sectPr w:rsidR="00270A1F" w:rsidRPr="00344CB5" w:rsidSect="005A7237">
      <w:footerReference w:type="default" r:id="rId8"/>
      <w:pgSz w:w="11906" w:h="16838"/>
      <w:pgMar w:top="709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8B23" w14:textId="77777777" w:rsidR="004920E8" w:rsidRDefault="004920E8" w:rsidP="00263146">
      <w:pPr>
        <w:spacing w:before="0" w:after="0" w:line="240" w:lineRule="auto"/>
      </w:pPr>
      <w:r>
        <w:separator/>
      </w:r>
    </w:p>
  </w:endnote>
  <w:endnote w:type="continuationSeparator" w:id="0">
    <w:p w14:paraId="71653F2E" w14:textId="77777777" w:rsidR="004920E8" w:rsidRDefault="004920E8" w:rsidP="002631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024338"/>
      <w:docPartObj>
        <w:docPartGallery w:val="Page Numbers (Bottom of Page)"/>
        <w:docPartUnique/>
      </w:docPartObj>
    </w:sdtPr>
    <w:sdtEndPr/>
    <w:sdtContent>
      <w:p w14:paraId="38C8A3DA" w14:textId="0C269A1F" w:rsidR="00671F55" w:rsidRDefault="00671F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A2E97" w14:textId="77777777" w:rsidR="00671F55" w:rsidRDefault="00671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3782" w14:textId="77777777" w:rsidR="004920E8" w:rsidRDefault="004920E8" w:rsidP="00263146">
      <w:pPr>
        <w:spacing w:before="0" w:after="0" w:line="240" w:lineRule="auto"/>
      </w:pPr>
      <w:r>
        <w:separator/>
      </w:r>
    </w:p>
  </w:footnote>
  <w:footnote w:type="continuationSeparator" w:id="0">
    <w:p w14:paraId="7784DDC0" w14:textId="77777777" w:rsidR="004920E8" w:rsidRDefault="004920E8" w:rsidP="00263146">
      <w:pPr>
        <w:spacing w:before="0" w:after="0" w:line="240" w:lineRule="auto"/>
      </w:pPr>
      <w:r>
        <w:continuationSeparator/>
      </w:r>
    </w:p>
  </w:footnote>
  <w:footnote w:id="1">
    <w:p w14:paraId="58D07DFD" w14:textId="09FFA271" w:rsidR="00C21513" w:rsidRDefault="00C21513" w:rsidP="00C21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1513">
        <w:rPr>
          <w:sz w:val="18"/>
          <w:szCs w:val="18"/>
        </w:rPr>
        <w:t>Zgodnie z Regulaminem Komitetu Monitorującego upoważnienie dla innego przedstawiciela należy przekazać na adres poczty elektronicznej sekretariatu Komitetu w formie elektronicznej lub w formie skanu na co najmniej 3 dni robocze przed dniem posiedzenia Komitetu lub oryginał dostarczyć do sekretariatu Komitetu w dniu posiedzenia. Upoważniony przedstawiciel podpisuje oświadczenie, którego wzór stanowi załącznik nr 1 do Regulaminu</w:t>
      </w:r>
      <w:r>
        <w:rPr>
          <w:sz w:val="18"/>
          <w:szCs w:val="18"/>
        </w:rPr>
        <w:t>,</w:t>
      </w:r>
      <w:r w:rsidRPr="00C21513">
        <w:rPr>
          <w:sz w:val="18"/>
          <w:szCs w:val="18"/>
        </w:rPr>
        <w:t xml:space="preserve"> w odniesieniu do danego posiedzenia Komitetu.</w:t>
      </w:r>
    </w:p>
  </w:footnote>
  <w:footnote w:id="2">
    <w:p w14:paraId="51BEAE58" w14:textId="2F077FD3" w:rsidR="00684B75" w:rsidRPr="005460B7" w:rsidRDefault="00684B75" w:rsidP="00684B75">
      <w:pPr>
        <w:pStyle w:val="Tekstprzypisudolnego"/>
        <w:spacing w:before="120" w:after="120"/>
        <w:rPr>
          <w:sz w:val="18"/>
          <w:szCs w:val="18"/>
        </w:rPr>
      </w:pPr>
      <w:r w:rsidRPr="004334E7">
        <w:rPr>
          <w:rStyle w:val="Odwoanieprzypisudolnego"/>
          <w:sz w:val="18"/>
          <w:szCs w:val="18"/>
        </w:rPr>
        <w:footnoteRef/>
      </w:r>
      <w:r w:rsidRPr="004334E7">
        <w:rPr>
          <w:sz w:val="18"/>
          <w:szCs w:val="18"/>
        </w:rPr>
        <w:t xml:space="preserve"> Rozporządzenie Parlamentu Europejskiego i Rady (UE, </w:t>
      </w:r>
      <w:proofErr w:type="spellStart"/>
      <w:r w:rsidRPr="004334E7">
        <w:rPr>
          <w:sz w:val="18"/>
          <w:szCs w:val="18"/>
        </w:rPr>
        <w:t>Euratom</w:t>
      </w:r>
      <w:proofErr w:type="spellEnd"/>
      <w:r w:rsidRPr="004334E7">
        <w:rPr>
          <w:sz w:val="18"/>
          <w:szCs w:val="18"/>
        </w:rPr>
        <w:t>) 2018/1046 z dnia 18 lipca 2018 r. w sprawie zasad finansowych mających zastosowanie do budżetu ogólnego Unii</w:t>
      </w:r>
      <w:r w:rsidR="00C2151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56A"/>
    <w:multiLevelType w:val="hybridMultilevel"/>
    <w:tmpl w:val="4B2AE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ED3"/>
    <w:multiLevelType w:val="hybridMultilevel"/>
    <w:tmpl w:val="60109C88"/>
    <w:lvl w:ilvl="0" w:tplc="C09A59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1F4748"/>
    <w:multiLevelType w:val="hybridMultilevel"/>
    <w:tmpl w:val="606809EE"/>
    <w:lvl w:ilvl="0" w:tplc="E17624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CC08C3"/>
    <w:multiLevelType w:val="hybridMultilevel"/>
    <w:tmpl w:val="583696C4"/>
    <w:lvl w:ilvl="0" w:tplc="2C8417B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B77598"/>
    <w:multiLevelType w:val="hybridMultilevel"/>
    <w:tmpl w:val="B4B2A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14EE"/>
    <w:multiLevelType w:val="hybridMultilevel"/>
    <w:tmpl w:val="57D4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AD8"/>
    <w:multiLevelType w:val="hybridMultilevel"/>
    <w:tmpl w:val="06AA0000"/>
    <w:lvl w:ilvl="0" w:tplc="930A9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135A17"/>
    <w:multiLevelType w:val="hybridMultilevel"/>
    <w:tmpl w:val="B34CF760"/>
    <w:lvl w:ilvl="0" w:tplc="85243D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56645A"/>
    <w:multiLevelType w:val="hybridMultilevel"/>
    <w:tmpl w:val="C882A262"/>
    <w:lvl w:ilvl="0" w:tplc="A94421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882071"/>
    <w:multiLevelType w:val="hybridMultilevel"/>
    <w:tmpl w:val="5B0A1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2F08"/>
    <w:multiLevelType w:val="multilevel"/>
    <w:tmpl w:val="D8B89FC0"/>
    <w:name w:val="a.2222222222222222322322222223262222222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52505C"/>
    <w:multiLevelType w:val="hybridMultilevel"/>
    <w:tmpl w:val="3C805436"/>
    <w:lvl w:ilvl="0" w:tplc="24BEFF3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9A74F80"/>
    <w:multiLevelType w:val="hybridMultilevel"/>
    <w:tmpl w:val="D9A66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538C"/>
    <w:multiLevelType w:val="hybridMultilevel"/>
    <w:tmpl w:val="CDF01788"/>
    <w:lvl w:ilvl="0" w:tplc="0415001B">
      <w:start w:val="1"/>
      <w:numFmt w:val="low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B4A1B3D"/>
    <w:multiLevelType w:val="hybridMultilevel"/>
    <w:tmpl w:val="09BA71D8"/>
    <w:lvl w:ilvl="0" w:tplc="930A9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AA4EB4"/>
    <w:multiLevelType w:val="hybridMultilevel"/>
    <w:tmpl w:val="1910DA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C4B95"/>
    <w:multiLevelType w:val="hybridMultilevel"/>
    <w:tmpl w:val="EE387F7C"/>
    <w:lvl w:ilvl="0" w:tplc="930A9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E243219"/>
    <w:multiLevelType w:val="hybridMultilevel"/>
    <w:tmpl w:val="39D4F7BC"/>
    <w:lvl w:ilvl="0" w:tplc="382407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951BE0"/>
    <w:multiLevelType w:val="hybridMultilevel"/>
    <w:tmpl w:val="960492E6"/>
    <w:lvl w:ilvl="0" w:tplc="930A9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F0F6B81"/>
    <w:multiLevelType w:val="hybridMultilevel"/>
    <w:tmpl w:val="DEF4FB2A"/>
    <w:lvl w:ilvl="0" w:tplc="52BECA7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0EB3A10"/>
    <w:multiLevelType w:val="hybridMultilevel"/>
    <w:tmpl w:val="A0F8C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13BAF"/>
    <w:multiLevelType w:val="hybridMultilevel"/>
    <w:tmpl w:val="1B62F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559FA"/>
    <w:multiLevelType w:val="hybridMultilevel"/>
    <w:tmpl w:val="5B0A1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1"/>
  </w:num>
  <w:num w:numId="5">
    <w:abstractNumId w:val="3"/>
  </w:num>
  <w:num w:numId="6">
    <w:abstractNumId w:val="19"/>
  </w:num>
  <w:num w:numId="7">
    <w:abstractNumId w:val="16"/>
  </w:num>
  <w:num w:numId="8">
    <w:abstractNumId w:val="21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22"/>
  </w:num>
  <w:num w:numId="17">
    <w:abstractNumId w:val="9"/>
  </w:num>
  <w:num w:numId="18">
    <w:abstractNumId w:val="14"/>
  </w:num>
  <w:num w:numId="19">
    <w:abstractNumId w:val="4"/>
  </w:num>
  <w:num w:numId="20">
    <w:abstractNumId w:val="20"/>
  </w:num>
  <w:num w:numId="21">
    <w:abstractNumId w:val="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5C"/>
    <w:rsid w:val="00016847"/>
    <w:rsid w:val="00031708"/>
    <w:rsid w:val="000449D1"/>
    <w:rsid w:val="00067F24"/>
    <w:rsid w:val="00086B34"/>
    <w:rsid w:val="000B0548"/>
    <w:rsid w:val="000B1A2C"/>
    <w:rsid w:val="000B2B1E"/>
    <w:rsid w:val="000F2BBD"/>
    <w:rsid w:val="001476AC"/>
    <w:rsid w:val="00152854"/>
    <w:rsid w:val="001550E0"/>
    <w:rsid w:val="00155180"/>
    <w:rsid w:val="00167248"/>
    <w:rsid w:val="0019665B"/>
    <w:rsid w:val="00196EB3"/>
    <w:rsid w:val="001A69C2"/>
    <w:rsid w:val="00203C7F"/>
    <w:rsid w:val="00215BE5"/>
    <w:rsid w:val="0023200C"/>
    <w:rsid w:val="00255E4B"/>
    <w:rsid w:val="00263146"/>
    <w:rsid w:val="00264CF6"/>
    <w:rsid w:val="00270A1F"/>
    <w:rsid w:val="00272F77"/>
    <w:rsid w:val="00296183"/>
    <w:rsid w:val="00296CC8"/>
    <w:rsid w:val="002A78E2"/>
    <w:rsid w:val="002B6B27"/>
    <w:rsid w:val="002D27E5"/>
    <w:rsid w:val="002E0968"/>
    <w:rsid w:val="002E43F7"/>
    <w:rsid w:val="00323C79"/>
    <w:rsid w:val="003373B8"/>
    <w:rsid w:val="00344CB5"/>
    <w:rsid w:val="00352949"/>
    <w:rsid w:val="003B415E"/>
    <w:rsid w:val="003C6F88"/>
    <w:rsid w:val="003E1D23"/>
    <w:rsid w:val="003E45BA"/>
    <w:rsid w:val="003E644C"/>
    <w:rsid w:val="00400073"/>
    <w:rsid w:val="004334E7"/>
    <w:rsid w:val="00437793"/>
    <w:rsid w:val="0046188A"/>
    <w:rsid w:val="0047144E"/>
    <w:rsid w:val="004714C4"/>
    <w:rsid w:val="004844FA"/>
    <w:rsid w:val="004920E8"/>
    <w:rsid w:val="004A5928"/>
    <w:rsid w:val="004D4506"/>
    <w:rsid w:val="004E1F58"/>
    <w:rsid w:val="004F4F3E"/>
    <w:rsid w:val="0050281A"/>
    <w:rsid w:val="00506C95"/>
    <w:rsid w:val="005147EB"/>
    <w:rsid w:val="0053200B"/>
    <w:rsid w:val="005460B7"/>
    <w:rsid w:val="00546C8B"/>
    <w:rsid w:val="00560401"/>
    <w:rsid w:val="00577085"/>
    <w:rsid w:val="005942B4"/>
    <w:rsid w:val="005A24EB"/>
    <w:rsid w:val="005A7237"/>
    <w:rsid w:val="005C7980"/>
    <w:rsid w:val="005D393F"/>
    <w:rsid w:val="005E7F32"/>
    <w:rsid w:val="005F06B2"/>
    <w:rsid w:val="006274AF"/>
    <w:rsid w:val="0064192C"/>
    <w:rsid w:val="00671F55"/>
    <w:rsid w:val="00684B75"/>
    <w:rsid w:val="006855AE"/>
    <w:rsid w:val="006C3A32"/>
    <w:rsid w:val="006C6956"/>
    <w:rsid w:val="00704798"/>
    <w:rsid w:val="00733DC6"/>
    <w:rsid w:val="0074000F"/>
    <w:rsid w:val="00740F6D"/>
    <w:rsid w:val="0076442E"/>
    <w:rsid w:val="00765192"/>
    <w:rsid w:val="007C3BAD"/>
    <w:rsid w:val="007C4C0D"/>
    <w:rsid w:val="007E623C"/>
    <w:rsid w:val="007F7C0F"/>
    <w:rsid w:val="0080056A"/>
    <w:rsid w:val="00813956"/>
    <w:rsid w:val="00824C5F"/>
    <w:rsid w:val="00872314"/>
    <w:rsid w:val="008A2B69"/>
    <w:rsid w:val="008A50EA"/>
    <w:rsid w:val="008B1563"/>
    <w:rsid w:val="008B495C"/>
    <w:rsid w:val="008C1839"/>
    <w:rsid w:val="009071B8"/>
    <w:rsid w:val="00913C4C"/>
    <w:rsid w:val="00913E8A"/>
    <w:rsid w:val="00914C72"/>
    <w:rsid w:val="00915EBF"/>
    <w:rsid w:val="00916DC5"/>
    <w:rsid w:val="00923DF9"/>
    <w:rsid w:val="00935138"/>
    <w:rsid w:val="00960AA1"/>
    <w:rsid w:val="00964030"/>
    <w:rsid w:val="009727B2"/>
    <w:rsid w:val="009741B1"/>
    <w:rsid w:val="0098195A"/>
    <w:rsid w:val="00996F46"/>
    <w:rsid w:val="009A333D"/>
    <w:rsid w:val="009B18EA"/>
    <w:rsid w:val="009C25D5"/>
    <w:rsid w:val="009C7694"/>
    <w:rsid w:val="009D2222"/>
    <w:rsid w:val="009E0EBB"/>
    <w:rsid w:val="009F10F0"/>
    <w:rsid w:val="009F2990"/>
    <w:rsid w:val="009F50DA"/>
    <w:rsid w:val="00A20333"/>
    <w:rsid w:val="00A32328"/>
    <w:rsid w:val="00A4397E"/>
    <w:rsid w:val="00A44CFC"/>
    <w:rsid w:val="00A45A39"/>
    <w:rsid w:val="00A61CB2"/>
    <w:rsid w:val="00A9377D"/>
    <w:rsid w:val="00AA6892"/>
    <w:rsid w:val="00AC1752"/>
    <w:rsid w:val="00AD228A"/>
    <w:rsid w:val="00AD3A7B"/>
    <w:rsid w:val="00AD799D"/>
    <w:rsid w:val="00B06B61"/>
    <w:rsid w:val="00B10102"/>
    <w:rsid w:val="00B3333D"/>
    <w:rsid w:val="00B82312"/>
    <w:rsid w:val="00B86B76"/>
    <w:rsid w:val="00BD07A9"/>
    <w:rsid w:val="00BD2B47"/>
    <w:rsid w:val="00C04257"/>
    <w:rsid w:val="00C20A62"/>
    <w:rsid w:val="00C21513"/>
    <w:rsid w:val="00C25E1D"/>
    <w:rsid w:val="00C266A6"/>
    <w:rsid w:val="00C3208B"/>
    <w:rsid w:val="00C9573D"/>
    <w:rsid w:val="00CB23C9"/>
    <w:rsid w:val="00CB754B"/>
    <w:rsid w:val="00CF3EB8"/>
    <w:rsid w:val="00CF7E47"/>
    <w:rsid w:val="00D071A9"/>
    <w:rsid w:val="00D10520"/>
    <w:rsid w:val="00D11FFB"/>
    <w:rsid w:val="00D14C33"/>
    <w:rsid w:val="00D20F7B"/>
    <w:rsid w:val="00D23304"/>
    <w:rsid w:val="00D330CE"/>
    <w:rsid w:val="00D41429"/>
    <w:rsid w:val="00D53CCA"/>
    <w:rsid w:val="00D65B90"/>
    <w:rsid w:val="00D76AC7"/>
    <w:rsid w:val="00D81EAA"/>
    <w:rsid w:val="00D97BF8"/>
    <w:rsid w:val="00DB5716"/>
    <w:rsid w:val="00DC69BA"/>
    <w:rsid w:val="00DD2CAF"/>
    <w:rsid w:val="00DF1D48"/>
    <w:rsid w:val="00E16FF4"/>
    <w:rsid w:val="00E21129"/>
    <w:rsid w:val="00E21E5E"/>
    <w:rsid w:val="00E5771E"/>
    <w:rsid w:val="00E63291"/>
    <w:rsid w:val="00E7783C"/>
    <w:rsid w:val="00EB08CE"/>
    <w:rsid w:val="00EC04ED"/>
    <w:rsid w:val="00EE0A1F"/>
    <w:rsid w:val="00F523A0"/>
    <w:rsid w:val="00F76832"/>
    <w:rsid w:val="00FC5457"/>
    <w:rsid w:val="00FD445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DE84"/>
  <w15:chartTrackingRefBased/>
  <w15:docId w15:val="{B9D249B7-466B-425F-AF90-275BCE9B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146"/>
    <w:pPr>
      <w:spacing w:before="120" w:after="12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146"/>
    <w:pPr>
      <w:keepNext/>
      <w:spacing w:before="240"/>
      <w:outlineLvl w:val="0"/>
    </w:pPr>
    <w:rPr>
      <w:rFonts w:eastAsia="Times New Roman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146"/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1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4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631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46"/>
    <w:rPr>
      <w:rFonts w:ascii="Arial" w:eastAsia="Calibri" w:hAnsi="Arial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222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222"/>
    <w:rPr>
      <w:rFonts w:ascii="Arial" w:eastAsia="Calibri" w:hAnsi="Arial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44C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60B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60B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B7"/>
    <w:rPr>
      <w:vertAlign w:val="superscript"/>
    </w:rPr>
  </w:style>
  <w:style w:type="paragraph" w:styleId="Poprawka">
    <w:name w:val="Revision"/>
    <w:hidden/>
    <w:uiPriority w:val="99"/>
    <w:semiHidden/>
    <w:rsid w:val="00923D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E0A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A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57CA-F95F-49E6-A339-9C177AAD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Sobota-Białas Aneta</cp:lastModifiedBy>
  <cp:revision>23</cp:revision>
  <dcterms:created xsi:type="dcterms:W3CDTF">2023-09-29T12:46:00Z</dcterms:created>
  <dcterms:modified xsi:type="dcterms:W3CDTF">2023-11-13T07:48:00Z</dcterms:modified>
</cp:coreProperties>
</file>